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3DF37007" w:rsidR="00DD3D9E" w:rsidRPr="00B4388F" w:rsidRDefault="0092264B" w:rsidP="00C436D3">
      <w:pPr>
        <w:pStyle w:val="Els-Title"/>
        <w:jc w:val="both"/>
        <w:rPr>
          <w:color w:val="000000" w:themeColor="text1"/>
        </w:rPr>
      </w:pPr>
      <w:r>
        <w:rPr>
          <w:color w:val="000000" w:themeColor="text1"/>
        </w:rPr>
        <w:t xml:space="preserve">Estimation of </w:t>
      </w:r>
      <w:r w:rsidR="006907ED">
        <w:rPr>
          <w:color w:val="000000" w:themeColor="text1"/>
        </w:rPr>
        <w:t>L</w:t>
      </w:r>
      <w:r>
        <w:rPr>
          <w:color w:val="000000" w:themeColor="text1"/>
        </w:rPr>
        <w:t xml:space="preserve">ong-term </w:t>
      </w:r>
      <w:r w:rsidR="006907ED">
        <w:rPr>
          <w:color w:val="000000" w:themeColor="text1"/>
        </w:rPr>
        <w:t>P</w:t>
      </w:r>
      <w:r>
        <w:rPr>
          <w:color w:val="000000" w:themeColor="text1"/>
        </w:rPr>
        <w:t xml:space="preserve">ower </w:t>
      </w:r>
      <w:r w:rsidR="006907ED">
        <w:rPr>
          <w:color w:val="000000" w:themeColor="text1"/>
        </w:rPr>
        <w:t>D</w:t>
      </w:r>
      <w:r>
        <w:rPr>
          <w:color w:val="000000" w:themeColor="text1"/>
        </w:rPr>
        <w:t xml:space="preserve">emand of </w:t>
      </w:r>
      <w:r w:rsidR="006907ED">
        <w:rPr>
          <w:color w:val="000000" w:themeColor="text1"/>
        </w:rPr>
        <w:t>O</w:t>
      </w:r>
      <w:r>
        <w:rPr>
          <w:color w:val="000000" w:themeColor="text1"/>
        </w:rPr>
        <w:t xml:space="preserve">il and </w:t>
      </w:r>
      <w:r w:rsidR="006907ED">
        <w:rPr>
          <w:color w:val="000000" w:themeColor="text1"/>
        </w:rPr>
        <w:t>G</w:t>
      </w:r>
      <w:r>
        <w:rPr>
          <w:color w:val="000000" w:themeColor="text1"/>
        </w:rPr>
        <w:t xml:space="preserve">as </w:t>
      </w:r>
      <w:r w:rsidR="006907ED">
        <w:rPr>
          <w:color w:val="000000" w:themeColor="text1"/>
        </w:rPr>
        <w:t>I</w:t>
      </w:r>
      <w:r>
        <w:rPr>
          <w:color w:val="000000" w:themeColor="text1"/>
        </w:rPr>
        <w:t xml:space="preserve">nstallations using </w:t>
      </w:r>
      <w:r w:rsidR="006907ED">
        <w:rPr>
          <w:color w:val="000000" w:themeColor="text1"/>
        </w:rPr>
        <w:t>H</w:t>
      </w:r>
      <w:r>
        <w:rPr>
          <w:color w:val="000000" w:themeColor="text1"/>
        </w:rPr>
        <w:t xml:space="preserve">ybrid </w:t>
      </w:r>
      <w:r w:rsidR="006907ED">
        <w:rPr>
          <w:color w:val="000000" w:themeColor="text1"/>
        </w:rPr>
        <w:t>M</w:t>
      </w:r>
      <w:r>
        <w:rPr>
          <w:color w:val="000000" w:themeColor="text1"/>
        </w:rPr>
        <w:t>odels</w:t>
      </w:r>
    </w:p>
    <w:p w14:paraId="717AA23B" w14:textId="1E2F75C7" w:rsidR="006A5CFA" w:rsidRDefault="006A5CFA" w:rsidP="00DB5373">
      <w:pPr>
        <w:pStyle w:val="Els-Author"/>
        <w:spacing w:after="0"/>
        <w:jc w:val="both"/>
      </w:pPr>
      <w:r>
        <w:t>Leif Erik Andersson</w:t>
      </w:r>
      <w:r w:rsidR="00A67F5B" w:rsidRPr="006A5CFA">
        <w:rPr>
          <w:vertAlign w:val="superscript"/>
        </w:rPr>
        <w:t>a</w:t>
      </w:r>
      <w:r w:rsidR="00DA1529">
        <w:rPr>
          <w:vertAlign w:val="superscript"/>
        </w:rPr>
        <w:t>,*</w:t>
      </w:r>
      <w:r>
        <w:t>, Adriana Reyes-Lúa</w:t>
      </w:r>
      <w:r w:rsidR="00A67F5B" w:rsidRPr="006A5CFA">
        <w:rPr>
          <w:vertAlign w:val="superscript"/>
        </w:rPr>
        <w:t>a</w:t>
      </w:r>
      <w:r>
        <w:t>, Heiner Schümann</w:t>
      </w:r>
      <w:r w:rsidR="00A67F5B">
        <w:rPr>
          <w:vertAlign w:val="superscript"/>
        </w:rPr>
        <w:t>b</w:t>
      </w:r>
      <w:r>
        <w:t>, Brage</w:t>
      </w:r>
      <w:r w:rsidR="00245E73">
        <w:t xml:space="preserve"> </w:t>
      </w:r>
      <w:r>
        <w:t>Rugstad Knudsen</w:t>
      </w:r>
      <w:r w:rsidR="00A67F5B" w:rsidRPr="006A5CFA">
        <w:rPr>
          <w:vertAlign w:val="superscript"/>
        </w:rPr>
        <w:t>a</w:t>
      </w:r>
    </w:p>
    <w:p w14:paraId="08AEB490" w14:textId="77777777" w:rsidR="006A5CFA" w:rsidRDefault="006A5CFA" w:rsidP="000C4809">
      <w:pPr>
        <w:pStyle w:val="Els-Affiliation"/>
      </w:pPr>
      <w:r w:rsidRPr="003A2ECB">
        <w:rPr>
          <w:vertAlign w:val="superscript"/>
        </w:rPr>
        <w:t>a</w:t>
      </w:r>
      <w:r>
        <w:t>SINTEF Energy Research, Sem Sælandsvei 11, Trondheim, 7034, Norway</w:t>
      </w:r>
      <w:bookmarkStart w:id="0" w:name="_GoBack"/>
      <w:bookmarkEnd w:id="0"/>
    </w:p>
    <w:p w14:paraId="0F83FEC5" w14:textId="3151A6FE" w:rsidR="006A5CFA" w:rsidRPr="00DB5373" w:rsidRDefault="006A5CFA" w:rsidP="000C4809">
      <w:pPr>
        <w:pStyle w:val="Els-Affiliation"/>
      </w:pPr>
      <w:r w:rsidRPr="00DB5373">
        <w:rPr>
          <w:vertAlign w:val="superscript"/>
        </w:rPr>
        <w:t>b</w:t>
      </w:r>
      <w:r w:rsidRPr="00DB5373">
        <w:t>SINTEF Industry, S.P. Andersens vei 15 B, Trondheim, 7031, Norway</w:t>
      </w:r>
    </w:p>
    <w:p w14:paraId="144DE683" w14:textId="41FEC538" w:rsidR="008D2649" w:rsidRPr="00A94774" w:rsidRDefault="00DA1529" w:rsidP="000C4809">
      <w:pPr>
        <w:pStyle w:val="Els-Affiliation"/>
      </w:pPr>
      <w:r>
        <w:t>*</w:t>
      </w:r>
      <w:r w:rsidR="00145B1F">
        <w:t>leif.andersson@sintef.no</w:t>
      </w:r>
    </w:p>
    <w:p w14:paraId="144DE684" w14:textId="77777777" w:rsidR="008D2649" w:rsidRDefault="008D2649" w:rsidP="00C436D3">
      <w:pPr>
        <w:pStyle w:val="Els-Abstract"/>
      </w:pPr>
      <w:r>
        <w:t>Abstract</w:t>
      </w:r>
    </w:p>
    <w:p w14:paraId="144DE686" w14:textId="44807E91" w:rsidR="008D2649" w:rsidRDefault="007E01E0" w:rsidP="00C436D3">
      <w:pPr>
        <w:pStyle w:val="Els-body-text"/>
        <w:spacing w:after="120"/>
        <w:rPr>
          <w:lang w:val="en-GB"/>
        </w:rPr>
      </w:pPr>
      <w:r>
        <w:rPr>
          <w:lang w:val="en-GB"/>
        </w:rPr>
        <w:t>A</w:t>
      </w:r>
      <w:r w:rsidR="00CF05DA" w:rsidRPr="00CF05DA">
        <w:rPr>
          <w:lang w:val="en-GB"/>
        </w:rPr>
        <w:t xml:space="preserve"> methodology to </w:t>
      </w:r>
      <w:r w:rsidR="004E37E8">
        <w:rPr>
          <w:lang w:val="en-GB"/>
        </w:rPr>
        <w:t>forecast</w:t>
      </w:r>
      <w:r w:rsidR="00F34801">
        <w:rPr>
          <w:lang w:val="en-GB"/>
        </w:rPr>
        <w:t xml:space="preserve"> power demand</w:t>
      </w:r>
      <w:r w:rsidR="00F34801" w:rsidRPr="00CF05DA">
        <w:rPr>
          <w:lang w:val="en-GB"/>
        </w:rPr>
        <w:t xml:space="preserve"> </w:t>
      </w:r>
      <w:r w:rsidR="00EB1631">
        <w:rPr>
          <w:lang w:val="en-GB"/>
        </w:rPr>
        <w:t>of oil and gas installations</w:t>
      </w:r>
      <w:r w:rsidR="00D21386">
        <w:rPr>
          <w:lang w:val="en-GB"/>
        </w:rPr>
        <w:t xml:space="preserve"> which</w:t>
      </w:r>
      <w:r>
        <w:rPr>
          <w:lang w:val="en-GB"/>
        </w:rPr>
        <w:t xml:space="preserve"> uses </w:t>
      </w:r>
      <w:r w:rsidR="00CF05DA" w:rsidRPr="00CF05DA">
        <w:rPr>
          <w:lang w:val="en-GB"/>
        </w:rPr>
        <w:t xml:space="preserve">publicly </w:t>
      </w:r>
      <w:r w:rsidR="00392AB6">
        <w:rPr>
          <w:lang w:val="en-GB"/>
        </w:rPr>
        <w:t xml:space="preserve">production </w:t>
      </w:r>
      <w:r w:rsidR="00CF05DA" w:rsidRPr="00CF05DA">
        <w:rPr>
          <w:lang w:val="en-GB"/>
        </w:rPr>
        <w:t>available data</w:t>
      </w:r>
      <w:r w:rsidR="00D21386">
        <w:rPr>
          <w:lang w:val="en-GB"/>
        </w:rPr>
        <w:t xml:space="preserve">, </w:t>
      </w:r>
      <w:r w:rsidR="00CF05DA" w:rsidRPr="00CF05DA">
        <w:rPr>
          <w:lang w:val="en-GB"/>
        </w:rPr>
        <w:t xml:space="preserve">parametric models </w:t>
      </w:r>
      <w:r w:rsidR="003769C5">
        <w:rPr>
          <w:lang w:val="en-GB"/>
        </w:rPr>
        <w:t xml:space="preserve">and </w:t>
      </w:r>
      <w:r w:rsidR="003769C5" w:rsidRPr="00CF05DA">
        <w:rPr>
          <w:lang w:val="en-GB"/>
        </w:rPr>
        <w:t>data-driven</w:t>
      </w:r>
      <w:r w:rsidR="004A0608">
        <w:rPr>
          <w:lang w:val="en-GB"/>
        </w:rPr>
        <w:t xml:space="preserve"> </w:t>
      </w:r>
      <w:r w:rsidR="004A0608" w:rsidRPr="00CF05DA">
        <w:rPr>
          <w:lang w:val="en-GB"/>
        </w:rPr>
        <w:t>Gaussian regression</w:t>
      </w:r>
      <w:r w:rsidR="003769C5" w:rsidRPr="00CF05DA">
        <w:rPr>
          <w:lang w:val="en-GB"/>
        </w:rPr>
        <w:t xml:space="preserve"> methods</w:t>
      </w:r>
      <w:r>
        <w:rPr>
          <w:lang w:val="en-GB"/>
        </w:rPr>
        <w:t xml:space="preserve"> is presented. The </w:t>
      </w:r>
      <w:r w:rsidR="00FB304B">
        <w:rPr>
          <w:lang w:val="en-GB"/>
        </w:rPr>
        <w:t>methodology also</w:t>
      </w:r>
      <w:r w:rsidR="003769C5">
        <w:rPr>
          <w:lang w:val="en-GB"/>
        </w:rPr>
        <w:t xml:space="preserve"> captures </w:t>
      </w:r>
      <w:r w:rsidR="00CF05DA" w:rsidRPr="00CF05DA">
        <w:rPr>
          <w:lang w:val="en-GB"/>
        </w:rPr>
        <w:t xml:space="preserve">the expected </w:t>
      </w:r>
      <w:r w:rsidR="0049787F">
        <w:rPr>
          <w:lang w:val="en-GB"/>
        </w:rPr>
        <w:t>fuel gas consumption and energy rati</w:t>
      </w:r>
      <w:r w:rsidR="00C62073">
        <w:rPr>
          <w:lang w:val="en-GB"/>
        </w:rPr>
        <w:t>o</w:t>
      </w:r>
      <w:r w:rsidR="00CF05DA" w:rsidRPr="00CF05DA">
        <w:rPr>
          <w:lang w:val="en-GB"/>
        </w:rPr>
        <w:t xml:space="preserve">. The </w:t>
      </w:r>
      <w:r w:rsidR="00894E16">
        <w:rPr>
          <w:lang w:val="en-GB"/>
        </w:rPr>
        <w:t xml:space="preserve">proposed </w:t>
      </w:r>
      <w:r w:rsidR="00CF05DA" w:rsidRPr="00CF05DA">
        <w:rPr>
          <w:lang w:val="en-GB"/>
        </w:rPr>
        <w:t xml:space="preserve">methodology is tested </w:t>
      </w:r>
      <w:r w:rsidR="00F1129F">
        <w:rPr>
          <w:lang w:val="en-GB"/>
        </w:rPr>
        <w:t xml:space="preserve">on </w:t>
      </w:r>
      <w:r w:rsidR="00CF05DA" w:rsidRPr="00CF05DA">
        <w:rPr>
          <w:lang w:val="en-GB"/>
        </w:rPr>
        <w:t>the Brage field</w:t>
      </w:r>
      <w:r w:rsidR="00894E16">
        <w:rPr>
          <w:lang w:val="en-GB"/>
        </w:rPr>
        <w:t xml:space="preserve"> on the Norwegian </w:t>
      </w:r>
      <w:r w:rsidR="00DA1529">
        <w:rPr>
          <w:lang w:val="en-GB"/>
        </w:rPr>
        <w:t>Continental S</w:t>
      </w:r>
      <w:r w:rsidR="00894E16">
        <w:rPr>
          <w:lang w:val="en-GB"/>
        </w:rPr>
        <w:t>helf</w:t>
      </w:r>
      <w:r w:rsidR="00CF05DA" w:rsidRPr="00CF05DA">
        <w:rPr>
          <w:lang w:val="en-GB"/>
        </w:rPr>
        <w:t>. It is shown that the general</w:t>
      </w:r>
      <w:r w:rsidR="0073303F">
        <w:rPr>
          <w:lang w:val="en-GB"/>
        </w:rPr>
        <w:t xml:space="preserve"> oil and water</w:t>
      </w:r>
      <w:r w:rsidR="00CF05DA" w:rsidRPr="00CF05DA">
        <w:rPr>
          <w:lang w:val="en-GB"/>
        </w:rPr>
        <w:t xml:space="preserve"> production behaviour </w:t>
      </w:r>
      <w:r w:rsidR="0073303F">
        <w:rPr>
          <w:lang w:val="en-GB"/>
        </w:rPr>
        <w:t>as well as</w:t>
      </w:r>
      <w:r w:rsidR="0073303F" w:rsidRPr="00CF05DA">
        <w:rPr>
          <w:lang w:val="en-GB"/>
        </w:rPr>
        <w:t xml:space="preserve"> </w:t>
      </w:r>
      <w:r w:rsidR="00CF05DA" w:rsidRPr="00CF05DA">
        <w:rPr>
          <w:lang w:val="en-GB"/>
        </w:rPr>
        <w:t xml:space="preserve">fuel gas consumption </w:t>
      </w:r>
      <w:r w:rsidR="0073303F">
        <w:rPr>
          <w:lang w:val="en-GB"/>
        </w:rPr>
        <w:t xml:space="preserve">trends </w:t>
      </w:r>
      <w:r w:rsidR="00CF05DA" w:rsidRPr="00CF05DA">
        <w:rPr>
          <w:lang w:val="en-GB"/>
        </w:rPr>
        <w:t xml:space="preserve">can be predicted. However, the </w:t>
      </w:r>
      <w:r w:rsidR="00C93A08">
        <w:rPr>
          <w:lang w:val="en-GB"/>
        </w:rPr>
        <w:t>forecast</w:t>
      </w:r>
      <w:r w:rsidR="00C93A08" w:rsidRPr="00CF05DA">
        <w:rPr>
          <w:lang w:val="en-GB"/>
        </w:rPr>
        <w:t xml:space="preserve"> </w:t>
      </w:r>
      <w:r w:rsidR="00CF05DA" w:rsidRPr="00CF05DA">
        <w:rPr>
          <w:lang w:val="en-GB"/>
        </w:rPr>
        <w:t xml:space="preserve">inherits a significant uncertainty </w:t>
      </w:r>
      <w:r w:rsidR="0052539A">
        <w:rPr>
          <w:lang w:val="en-GB"/>
        </w:rPr>
        <w:t xml:space="preserve">due to the </w:t>
      </w:r>
      <w:r w:rsidR="00367036">
        <w:rPr>
          <w:lang w:val="en-GB"/>
        </w:rPr>
        <w:t>publicly available</w:t>
      </w:r>
      <w:r w:rsidR="00367036" w:rsidRPr="00CF05DA">
        <w:rPr>
          <w:lang w:val="en-GB"/>
        </w:rPr>
        <w:t xml:space="preserve"> dataset </w:t>
      </w:r>
      <w:r w:rsidR="00367036">
        <w:rPr>
          <w:lang w:val="en-GB"/>
        </w:rPr>
        <w:t>lacking</w:t>
      </w:r>
      <w:r w:rsidR="00367036" w:rsidRPr="00CF05DA">
        <w:rPr>
          <w:lang w:val="en-GB"/>
        </w:rPr>
        <w:t xml:space="preserve"> </w:t>
      </w:r>
      <w:r w:rsidR="00CF05DA" w:rsidRPr="00CF05DA">
        <w:rPr>
          <w:lang w:val="en-GB"/>
        </w:rPr>
        <w:t xml:space="preserve">metadata </w:t>
      </w:r>
      <w:r w:rsidR="00D9220F">
        <w:rPr>
          <w:lang w:val="en-GB"/>
        </w:rPr>
        <w:t>and</w:t>
      </w:r>
      <w:r w:rsidR="00D9220F" w:rsidRPr="00CF05DA">
        <w:rPr>
          <w:lang w:val="en-GB"/>
        </w:rPr>
        <w:t xml:space="preserve"> </w:t>
      </w:r>
      <w:r w:rsidR="00D9220F">
        <w:rPr>
          <w:lang w:val="en-GB"/>
        </w:rPr>
        <w:t xml:space="preserve">a </w:t>
      </w:r>
      <w:r w:rsidR="000D47ED">
        <w:rPr>
          <w:lang w:val="en-GB"/>
        </w:rPr>
        <w:t>complete des</w:t>
      </w:r>
      <w:r w:rsidR="00B774E2">
        <w:rPr>
          <w:lang w:val="en-GB"/>
        </w:rPr>
        <w:t>cription of the energy sinks</w:t>
      </w:r>
      <w:r w:rsidR="00CF05DA" w:rsidRPr="00CF05DA">
        <w:rPr>
          <w:lang w:val="en-GB"/>
        </w:rPr>
        <w:t>.</w:t>
      </w:r>
    </w:p>
    <w:p w14:paraId="1B3D02FE" w14:textId="71F453B2" w:rsidR="00E9164A" w:rsidRDefault="008D2649" w:rsidP="00C436D3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7D1F20">
        <w:rPr>
          <w:lang w:val="en-GB"/>
        </w:rPr>
        <w:t xml:space="preserve">Gaussian Process Regression, Forecast, Oil and Gas, </w:t>
      </w:r>
      <w:r w:rsidR="00F92B21">
        <w:rPr>
          <w:lang w:val="en-GB"/>
        </w:rPr>
        <w:t>Power demand</w:t>
      </w:r>
    </w:p>
    <w:p w14:paraId="3B8CEE91" w14:textId="6A7B145E" w:rsidR="008B770D" w:rsidRDefault="008B770D" w:rsidP="00C436D3">
      <w:pPr>
        <w:pStyle w:val="Els-1storder-head"/>
      </w:pPr>
      <w:r>
        <w:t>Introduction</w:t>
      </w:r>
    </w:p>
    <w:p w14:paraId="0901658B" w14:textId="2906BAFC" w:rsidR="00440E79" w:rsidRPr="008B770D" w:rsidRDefault="00AD3229" w:rsidP="00A952F2">
      <w:pPr>
        <w:pStyle w:val="Els-body-text"/>
      </w:pPr>
      <w:r>
        <w:t xml:space="preserve">The need </w:t>
      </w:r>
      <w:r w:rsidR="00380C55">
        <w:t>for</w:t>
      </w:r>
      <w:r w:rsidR="00661456">
        <w:t xml:space="preserve"> </w:t>
      </w:r>
      <w:r>
        <w:t>decarbonization and</w:t>
      </w:r>
      <w:r w:rsidR="00532DB0">
        <w:t xml:space="preserve"> the</w:t>
      </w:r>
      <w:r>
        <w:t xml:space="preserve"> </w:t>
      </w:r>
      <w:r w:rsidR="00602F20" w:rsidRPr="00602F20">
        <w:t xml:space="preserve">energy transition will cause </w:t>
      </w:r>
      <w:r w:rsidR="006653EF">
        <w:t xml:space="preserve">a decline in </w:t>
      </w:r>
      <w:r w:rsidR="00DC3A13" w:rsidRPr="00602F20">
        <w:t>global</w:t>
      </w:r>
      <w:r w:rsidR="00602F20" w:rsidRPr="00602F20">
        <w:t xml:space="preserve"> </w:t>
      </w:r>
      <w:r w:rsidR="00854243">
        <w:t xml:space="preserve">fossil fuel </w:t>
      </w:r>
      <w:r w:rsidR="00602F20" w:rsidRPr="00602F20">
        <w:t xml:space="preserve">demand </w:t>
      </w:r>
      <w:r w:rsidR="001F62CC">
        <w:t xml:space="preserve">in the </w:t>
      </w:r>
      <w:r w:rsidR="00602F20" w:rsidRPr="00602F20">
        <w:t>years</w:t>
      </w:r>
      <w:r w:rsidR="001F62CC">
        <w:t xml:space="preserve"> to come</w:t>
      </w:r>
      <w:r w:rsidR="00CC50FF">
        <w:t xml:space="preserve"> (</w:t>
      </w:r>
      <w:r w:rsidR="00C8128C">
        <w:t>IEA, 2023</w:t>
      </w:r>
      <w:r w:rsidR="00CC50FF">
        <w:t>)</w:t>
      </w:r>
      <w:r w:rsidR="00602F20" w:rsidRPr="00602F20">
        <w:t>.</w:t>
      </w:r>
      <w:r w:rsidR="00440E79" w:rsidRPr="00440E79">
        <w:t xml:space="preserve"> </w:t>
      </w:r>
      <w:r w:rsidR="00440E79">
        <w:t>Nevertheless</w:t>
      </w:r>
      <w:r w:rsidR="00440E79" w:rsidRPr="00440E79">
        <w:t xml:space="preserve">, natural gas is expected to play an important role in the path towards decarbonization as a raw material </w:t>
      </w:r>
      <w:r w:rsidR="00854243" w:rsidRPr="00440E79">
        <w:t>to produce</w:t>
      </w:r>
      <w:r w:rsidR="00440E79" w:rsidRPr="00440E79">
        <w:t xml:space="preserve"> low-carbon hydrogen via steam reforming with carbon capture and storage</w:t>
      </w:r>
      <w:r w:rsidR="00AC351B">
        <w:t xml:space="preserve"> (</w:t>
      </w:r>
      <w:proofErr w:type="spellStart"/>
      <w:r w:rsidR="00BC781C" w:rsidRPr="00BC781C">
        <w:t>Ueckerdt</w:t>
      </w:r>
      <w:proofErr w:type="spellEnd"/>
      <w:r w:rsidR="00BC781C">
        <w:t xml:space="preserve"> et al, 202</w:t>
      </w:r>
      <w:r w:rsidR="006137D0">
        <w:t>4</w:t>
      </w:r>
      <w:r w:rsidR="00710900">
        <w:t>).</w:t>
      </w:r>
      <w:r w:rsidR="007E7FF0">
        <w:t xml:space="preserve"> </w:t>
      </w:r>
      <w:r w:rsidR="00065F3D">
        <w:t xml:space="preserve">Extraction of oil and gas is energy intensive </w:t>
      </w:r>
      <w:r w:rsidR="00333485">
        <w:t>and</w:t>
      </w:r>
      <w:r w:rsidR="00505AB5">
        <w:t xml:space="preserve"> most</w:t>
      </w:r>
      <w:r w:rsidR="007E7FF0" w:rsidRPr="007E7FF0">
        <w:t xml:space="preserve"> </w:t>
      </w:r>
      <w:r w:rsidR="004B3BB9">
        <w:t>CO</w:t>
      </w:r>
      <w:r w:rsidR="004B3BB9" w:rsidRPr="004B3BB9">
        <w:rPr>
          <w:vertAlign w:val="subscript"/>
        </w:rPr>
        <w:t>2</w:t>
      </w:r>
      <w:r w:rsidR="004B3BB9">
        <w:t xml:space="preserve"> </w:t>
      </w:r>
      <w:r w:rsidR="007E7FF0" w:rsidRPr="007E7FF0">
        <w:t>emissions from offshore petroleum activities are related to power generation to sustain offshore operation</w:t>
      </w:r>
      <w:r w:rsidR="00874963">
        <w:t>s</w:t>
      </w:r>
      <w:r w:rsidR="007E7FF0" w:rsidRPr="007E7FF0">
        <w:t xml:space="preserve">, </w:t>
      </w:r>
      <w:r w:rsidR="00762BC6" w:rsidRPr="00625182">
        <w:t>with most of the offshore power production using natural gas as fuel</w:t>
      </w:r>
      <w:r w:rsidR="00505AB5">
        <w:t xml:space="preserve"> (</w:t>
      </w:r>
      <w:proofErr w:type="spellStart"/>
      <w:r w:rsidR="00505AB5">
        <w:t>Voldsund</w:t>
      </w:r>
      <w:proofErr w:type="spellEnd"/>
      <w:r w:rsidR="00505AB5">
        <w:t xml:space="preserve"> et al, 2023)</w:t>
      </w:r>
      <w:r w:rsidR="007E7FF0" w:rsidRPr="007E7FF0">
        <w:t>.</w:t>
      </w:r>
      <w:r w:rsidR="00625182">
        <w:t xml:space="preserve"> </w:t>
      </w:r>
      <w:r w:rsidR="00625182" w:rsidRPr="00625182">
        <w:t xml:space="preserve">For instance, in 2022, 11.57 mill. ton </w:t>
      </w:r>
      <w:proofErr w:type="gramStart"/>
      <w:r w:rsidR="00625182" w:rsidRPr="00625182">
        <w:t>CO</w:t>
      </w:r>
      <w:r w:rsidR="00625182" w:rsidRPr="00A72C56">
        <w:rPr>
          <w:vertAlign w:val="subscript"/>
        </w:rPr>
        <w:t>2</w:t>
      </w:r>
      <w:r w:rsidR="007B05D6">
        <w:rPr>
          <w:vertAlign w:val="subscript"/>
        </w:rPr>
        <w:t>,</w:t>
      </w:r>
      <w:r w:rsidR="00A72C56" w:rsidRPr="00A72C56">
        <w:rPr>
          <w:vertAlign w:val="subscript"/>
        </w:rPr>
        <w:t>eq</w:t>
      </w:r>
      <w:proofErr w:type="gramEnd"/>
      <w:r w:rsidR="00625182" w:rsidRPr="00625182">
        <w:t xml:space="preserve"> were emitted in the Norwegian Continental Shelf </w:t>
      </w:r>
      <w:r w:rsidR="00A72C56">
        <w:t>(NCS)</w:t>
      </w:r>
      <w:r w:rsidR="00874963">
        <w:t>,</w:t>
      </w:r>
      <w:r w:rsidR="00625182" w:rsidRPr="00625182">
        <w:t xml:space="preserve"> 80.73</w:t>
      </w:r>
      <w:r w:rsidR="00A72C56">
        <w:t xml:space="preserve"> </w:t>
      </w:r>
      <w:r w:rsidR="00625182" w:rsidRPr="00625182">
        <w:t>% of which were generated by gas turbines and 7.14</w:t>
      </w:r>
      <w:r w:rsidR="00A72C56">
        <w:t xml:space="preserve"> </w:t>
      </w:r>
      <w:r w:rsidR="00625182" w:rsidRPr="00625182">
        <w:t xml:space="preserve">% by engines </w:t>
      </w:r>
      <w:r w:rsidR="0088562C">
        <w:t>(NDP, 2023)</w:t>
      </w:r>
      <w:r w:rsidR="00625182" w:rsidRPr="00625182">
        <w:t>.</w:t>
      </w:r>
      <w:r w:rsidR="001E4E2D">
        <w:t xml:space="preserve"> </w:t>
      </w:r>
      <w:r w:rsidR="001E4E2D" w:rsidRPr="001E4E2D">
        <w:t xml:space="preserve">The relation between power demand and oil and gas production </w:t>
      </w:r>
      <w:r w:rsidR="00A75D2F">
        <w:t>varies</w:t>
      </w:r>
      <w:r w:rsidR="001E4E2D" w:rsidRPr="001E4E2D">
        <w:t xml:space="preserve"> </w:t>
      </w:r>
      <w:r w:rsidR="00A75D2F">
        <w:t xml:space="preserve">through </w:t>
      </w:r>
      <w:r w:rsidR="001E4E2D" w:rsidRPr="001E4E2D">
        <w:t>the lifetime of a site</w:t>
      </w:r>
      <w:r w:rsidR="00AF0596">
        <w:t>.</w:t>
      </w:r>
      <w:r w:rsidR="002051BD">
        <w:t xml:space="preserve"> E</w:t>
      </w:r>
      <w:r w:rsidR="002D25D4">
        <w:t>nergy intensity</w:t>
      </w:r>
      <w:r w:rsidR="00BE544C">
        <w:t xml:space="preserve"> and </w:t>
      </w:r>
      <w:r w:rsidR="000F3A58">
        <w:t>emissions</w:t>
      </w:r>
      <w:r w:rsidR="00E643A5">
        <w:t xml:space="preserve"> from power generation increase</w:t>
      </w:r>
      <w:r w:rsidR="003B5EC8">
        <w:t xml:space="preserve"> significantly towards </w:t>
      </w:r>
      <w:r w:rsidR="00117616">
        <w:t xml:space="preserve">the </w:t>
      </w:r>
      <w:r w:rsidR="003B5EC8">
        <w:t>late life of fields</w:t>
      </w:r>
      <w:r w:rsidR="00F71172">
        <w:t xml:space="preserve"> </w:t>
      </w:r>
      <w:r w:rsidR="00D41026">
        <w:t xml:space="preserve">due to the need of </w:t>
      </w:r>
      <w:r w:rsidR="00A31466">
        <w:t xml:space="preserve">reservoir pressure support or gas lift to maintain </w:t>
      </w:r>
      <w:r w:rsidR="002051BD">
        <w:t>operations</w:t>
      </w:r>
      <w:r w:rsidR="00F71172">
        <w:t>.</w:t>
      </w:r>
      <w:r w:rsidR="005F335B">
        <w:t xml:space="preserve"> </w:t>
      </w:r>
      <w:r w:rsidR="00F95711">
        <w:t xml:space="preserve">Also, equipment such as gas export compressors may operate far from their design </w:t>
      </w:r>
      <w:r w:rsidR="00C83A27">
        <w:t>point</w:t>
      </w:r>
      <w:r w:rsidR="00B1556D">
        <w:t xml:space="preserve"> and thus, </w:t>
      </w:r>
      <w:r w:rsidR="00910F8F">
        <w:t xml:space="preserve">at </w:t>
      </w:r>
      <w:r w:rsidR="00B1556D">
        <w:t>lower efficiencies</w:t>
      </w:r>
      <w:r w:rsidR="00F95711">
        <w:t>.</w:t>
      </w:r>
      <w:r w:rsidR="005700E1">
        <w:t xml:space="preserve"> </w:t>
      </w:r>
      <w:r w:rsidR="00BF3564">
        <w:t xml:space="preserve"> </w:t>
      </w:r>
      <w:r w:rsidR="009F7F30">
        <w:t>There are high-profile studies aiming to predict global</w:t>
      </w:r>
      <w:r w:rsidR="00BF3564">
        <w:t xml:space="preserve"> oil and gas</w:t>
      </w:r>
      <w:r w:rsidR="00571FFD">
        <w:t xml:space="preserve"> production </w:t>
      </w:r>
      <w:r w:rsidR="009115CD">
        <w:t>trends</w:t>
      </w:r>
      <w:r w:rsidR="00B07976">
        <w:t>, which are driven not only by availability but also by economics</w:t>
      </w:r>
      <w:r w:rsidR="00BF3564">
        <w:t xml:space="preserve"> </w:t>
      </w:r>
      <w:r w:rsidR="0037691C">
        <w:t>(</w:t>
      </w:r>
      <w:proofErr w:type="spellStart"/>
      <w:r w:rsidR="0037691C">
        <w:t>Bardi</w:t>
      </w:r>
      <w:proofErr w:type="spellEnd"/>
      <w:r w:rsidR="0037691C">
        <w:t>, 2019)</w:t>
      </w:r>
      <w:r w:rsidR="00571FFD">
        <w:t xml:space="preserve">. </w:t>
      </w:r>
      <w:r w:rsidR="00B07976">
        <w:t xml:space="preserve">At an installation level, </w:t>
      </w:r>
      <w:r w:rsidR="00FA4F6B">
        <w:t xml:space="preserve">it is possible to </w:t>
      </w:r>
      <w:r w:rsidR="00E368EB">
        <w:t>utilize engineering insights</w:t>
      </w:r>
      <w:r w:rsidR="00BA0E47">
        <w:t xml:space="preserve"> to estimate production and </w:t>
      </w:r>
      <w:r w:rsidR="0001737A">
        <w:t>energy intensity</w:t>
      </w:r>
      <w:r w:rsidR="00705257">
        <w:t xml:space="preserve"> (</w:t>
      </w:r>
      <w:proofErr w:type="spellStart"/>
      <w:r w:rsidR="00705257">
        <w:t>Masnadi</w:t>
      </w:r>
      <w:proofErr w:type="spellEnd"/>
      <w:r w:rsidR="00705257">
        <w:t xml:space="preserve"> and Brandt, 2017)</w:t>
      </w:r>
      <w:r w:rsidR="00BA0E47">
        <w:t>.</w:t>
      </w:r>
      <w:r w:rsidR="00223364">
        <w:t xml:space="preserve"> Different machine learning </w:t>
      </w:r>
      <w:r w:rsidR="00CF1147">
        <w:t>tools have been used to</w:t>
      </w:r>
      <w:r w:rsidR="002A7A5E">
        <w:t xml:space="preserve"> analyze upstream operations</w:t>
      </w:r>
      <w:r w:rsidR="00CF1147">
        <w:t xml:space="preserve"> (</w:t>
      </w:r>
      <w:proofErr w:type="spellStart"/>
      <w:r w:rsidR="00223364" w:rsidRPr="00BD1328">
        <w:t>Koroteev</w:t>
      </w:r>
      <w:proofErr w:type="spellEnd"/>
      <w:r w:rsidR="00223364">
        <w:t xml:space="preserve"> et al</w:t>
      </w:r>
      <w:r w:rsidR="00CF1147">
        <w:t>, 2021)</w:t>
      </w:r>
      <w:r w:rsidR="00F562B4">
        <w:t>, including deep-learning</w:t>
      </w:r>
      <w:r w:rsidR="00CD4A08">
        <w:t xml:space="preserve"> and hybrid</w:t>
      </w:r>
      <w:r w:rsidR="00F562B4">
        <w:t xml:space="preserve"> models </w:t>
      </w:r>
      <w:r w:rsidR="001248D9">
        <w:t xml:space="preserve">to predict production </w:t>
      </w:r>
      <w:r w:rsidR="001444BF">
        <w:t>(</w:t>
      </w:r>
      <w:r w:rsidR="00BE5893">
        <w:t xml:space="preserve">Fan et al, 2021; </w:t>
      </w:r>
      <w:r w:rsidR="001444BF">
        <w:t>Pan et al, 2023)</w:t>
      </w:r>
      <w:r w:rsidR="00CF1147">
        <w:t xml:space="preserve">. </w:t>
      </w:r>
      <w:r w:rsidR="00BE5893">
        <w:t xml:space="preserve">Here, we </w:t>
      </w:r>
      <w:r w:rsidR="00CD30E5">
        <w:t>analyze t</w:t>
      </w:r>
      <w:r w:rsidR="00113B78">
        <w:t>he system from the power demand perspective, proposing a</w:t>
      </w:r>
      <w:r w:rsidR="005F335B">
        <w:t xml:space="preserve"> methodology to forecast the long-term power demand using public available data for the NCS. </w:t>
      </w:r>
      <w:r w:rsidR="00F95711">
        <w:t>Such tool</w:t>
      </w:r>
      <w:r w:rsidR="00FA5F73">
        <w:t>s</w:t>
      </w:r>
      <w:r w:rsidR="00F95711">
        <w:t xml:space="preserve"> </w:t>
      </w:r>
      <w:r w:rsidR="00917000">
        <w:t>will support</w:t>
      </w:r>
      <w:r w:rsidR="00F95711">
        <w:t xml:space="preserve"> operators </w:t>
      </w:r>
      <w:r w:rsidR="005D7137">
        <w:t xml:space="preserve">to </w:t>
      </w:r>
      <w:r w:rsidR="000731A2">
        <w:t>plan</w:t>
      </w:r>
      <w:r w:rsidR="005F335B">
        <w:t xml:space="preserve"> investment in low-carbon power supply for offshore </w:t>
      </w:r>
      <w:r w:rsidR="001F4816">
        <w:t>sites and</w:t>
      </w:r>
      <w:r w:rsidR="000731A2">
        <w:t xml:space="preserve"> </w:t>
      </w:r>
      <w:r w:rsidR="0051334A">
        <w:t xml:space="preserve">enable </w:t>
      </w:r>
      <w:r w:rsidR="000731A2">
        <w:t xml:space="preserve">public authorities to </w:t>
      </w:r>
      <w:r w:rsidR="00917000">
        <w:t xml:space="preserve">monitor energy intensity </w:t>
      </w:r>
      <w:r w:rsidR="00C24E42">
        <w:t xml:space="preserve">and thus shape regulations </w:t>
      </w:r>
      <w:r w:rsidR="006D0508">
        <w:t>for</w:t>
      </w:r>
      <w:r w:rsidR="00C24E42">
        <w:t xml:space="preserve"> aging</w:t>
      </w:r>
      <w:r w:rsidR="00917000">
        <w:t xml:space="preserve"> fields</w:t>
      </w:r>
      <w:r w:rsidR="00C24E42">
        <w:t>.</w:t>
      </w:r>
      <w:r w:rsidR="00917000">
        <w:t xml:space="preserve"> </w:t>
      </w:r>
    </w:p>
    <w:p w14:paraId="5406D3F3" w14:textId="05F027BC" w:rsidR="002907D8" w:rsidRPr="002907D8" w:rsidRDefault="00A00BB1" w:rsidP="00C436D3">
      <w:pPr>
        <w:pStyle w:val="Els-1storder-head"/>
      </w:pPr>
      <w:r>
        <w:lastRenderedPageBreak/>
        <w:t>Methodology</w:t>
      </w:r>
    </w:p>
    <w:p w14:paraId="46EBAFC3" w14:textId="6709A526" w:rsidR="00BF1C4E" w:rsidRDefault="00BF1C4E" w:rsidP="00C436D3">
      <w:pPr>
        <w:pStyle w:val="Els-2ndorder-head"/>
      </w:pPr>
      <w:r>
        <w:t>Data set</w:t>
      </w:r>
    </w:p>
    <w:p w14:paraId="1A766634" w14:textId="6EE60E7E" w:rsidR="00BF1C4E" w:rsidRPr="00BF1C4E" w:rsidRDefault="00BF1C4E" w:rsidP="00C436D3">
      <w:pPr>
        <w:pStyle w:val="Els-2ndorder-head"/>
        <w:numPr>
          <w:ilvl w:val="0"/>
          <w:numId w:val="0"/>
        </w:numPr>
        <w:rPr>
          <w:i w:val="0"/>
        </w:rPr>
      </w:pPr>
      <w:r w:rsidRPr="00BF1C4E">
        <w:rPr>
          <w:i w:val="0"/>
        </w:rPr>
        <w:t xml:space="preserve">The data was retrieved from the </w:t>
      </w:r>
      <w:r w:rsidR="006257F8">
        <w:rPr>
          <w:i w:val="0"/>
        </w:rPr>
        <w:t xml:space="preserve">Norwegian </w:t>
      </w:r>
      <w:proofErr w:type="spellStart"/>
      <w:r w:rsidRPr="00BF1C4E">
        <w:rPr>
          <w:i w:val="0"/>
        </w:rPr>
        <w:t>Diskos</w:t>
      </w:r>
      <w:proofErr w:type="spellEnd"/>
      <w:r w:rsidRPr="00BF1C4E">
        <w:rPr>
          <w:i w:val="0"/>
        </w:rPr>
        <w:t xml:space="preserve"> National Data Repository (</w:t>
      </w:r>
      <w:r w:rsidR="005135D0">
        <w:rPr>
          <w:i w:val="0"/>
        </w:rPr>
        <w:t xml:space="preserve">DISKOS </w:t>
      </w:r>
      <w:r w:rsidRPr="00BF1C4E">
        <w:rPr>
          <w:i w:val="0"/>
        </w:rPr>
        <w:t>NDR</w:t>
      </w:r>
      <w:r w:rsidR="008F5DA8">
        <w:rPr>
          <w:i w:val="0"/>
        </w:rPr>
        <w:t>, 2022</w:t>
      </w:r>
      <w:r w:rsidRPr="00BF1C4E">
        <w:rPr>
          <w:i w:val="0"/>
        </w:rPr>
        <w:t>)</w:t>
      </w:r>
      <w:r w:rsidR="008E397C">
        <w:rPr>
          <w:i w:val="0"/>
        </w:rPr>
        <w:t>.</w:t>
      </w:r>
      <w:r w:rsidRPr="00BF1C4E">
        <w:rPr>
          <w:i w:val="0"/>
        </w:rPr>
        <w:t xml:space="preserve"> The data set contains monthly production data per field, installation and terminal of oil companies operating on the NCS. A challenge for creating a long-term </w:t>
      </w:r>
      <w:r w:rsidR="00C93A08">
        <w:rPr>
          <w:i w:val="0"/>
        </w:rPr>
        <w:t>forecast</w:t>
      </w:r>
      <w:r w:rsidR="00C93A08" w:rsidRPr="00BF1C4E">
        <w:rPr>
          <w:i w:val="0"/>
        </w:rPr>
        <w:t xml:space="preserve"> </w:t>
      </w:r>
      <w:r w:rsidRPr="00BF1C4E">
        <w:rPr>
          <w:i w:val="0"/>
        </w:rPr>
        <w:t xml:space="preserve">model is that additional metadata is not available. Therefore, the </w:t>
      </w:r>
      <w:r w:rsidR="005135D0">
        <w:rPr>
          <w:i w:val="0"/>
        </w:rPr>
        <w:t>operational</w:t>
      </w:r>
      <w:r w:rsidR="005135D0" w:rsidRPr="00BF1C4E">
        <w:rPr>
          <w:i w:val="0"/>
        </w:rPr>
        <w:t xml:space="preserve"> </w:t>
      </w:r>
      <w:r w:rsidRPr="00BF1C4E">
        <w:rPr>
          <w:i w:val="0"/>
        </w:rPr>
        <w:t>status</w:t>
      </w:r>
      <w:r w:rsidR="00D42A09">
        <w:rPr>
          <w:i w:val="0"/>
        </w:rPr>
        <w:t xml:space="preserve"> or events</w:t>
      </w:r>
      <w:r w:rsidRPr="00BF1C4E">
        <w:rPr>
          <w:i w:val="0"/>
        </w:rPr>
        <w:t xml:space="preserve">, </w:t>
      </w:r>
      <w:r w:rsidR="00B37731">
        <w:rPr>
          <w:i w:val="0"/>
        </w:rPr>
        <w:t>e.g.,</w:t>
      </w:r>
      <w:r w:rsidR="008E397C">
        <w:rPr>
          <w:i w:val="0"/>
        </w:rPr>
        <w:t xml:space="preserve"> </w:t>
      </w:r>
      <w:r w:rsidRPr="00BF1C4E">
        <w:rPr>
          <w:i w:val="0"/>
        </w:rPr>
        <w:t>downtime, maintenance schedule, installation of new wells, upgrading or installation of new equipment or change of production</w:t>
      </w:r>
      <w:r w:rsidR="00830C15">
        <w:rPr>
          <w:i w:val="0"/>
        </w:rPr>
        <w:t xml:space="preserve">, </w:t>
      </w:r>
      <w:r w:rsidR="00830C15" w:rsidRPr="00BF1C4E">
        <w:rPr>
          <w:i w:val="0"/>
        </w:rPr>
        <w:t>is not known</w:t>
      </w:r>
      <w:r w:rsidRPr="00BF1C4E">
        <w:rPr>
          <w:i w:val="0"/>
        </w:rPr>
        <w:t>. These factors influence the production and are visible as peaks and sudden large changes of trends in the time series data.</w:t>
      </w:r>
    </w:p>
    <w:p w14:paraId="70F0C92D" w14:textId="77777777" w:rsidR="00BF1C4E" w:rsidRPr="000C4809" w:rsidRDefault="00BF1C4E" w:rsidP="00C436D3">
      <w:pPr>
        <w:pStyle w:val="Els-body-text"/>
        <w:rPr>
          <w:sz w:val="16"/>
          <w:szCs w:val="16"/>
        </w:rPr>
      </w:pPr>
    </w:p>
    <w:p w14:paraId="5773288B" w14:textId="7FEEBAA5" w:rsidR="00D82671" w:rsidRPr="00D82671" w:rsidRDefault="004D6A04" w:rsidP="00C436D3">
      <w:pPr>
        <w:pStyle w:val="Els-2ndorder-head"/>
      </w:pPr>
      <w:r w:rsidRPr="004D6A04">
        <w:t>Data pre-processing</w:t>
      </w:r>
    </w:p>
    <w:p w14:paraId="7E134A01" w14:textId="0E82F64E" w:rsidR="00D82671" w:rsidRDefault="00D82671" w:rsidP="00C436D3">
      <w:pPr>
        <w:pStyle w:val="Els-body-text"/>
      </w:pPr>
      <w:r>
        <w:t xml:space="preserve">A moving average filter is employed for outlier detection. If the data point </w:t>
      </w:r>
      <m:oMath>
        <m:r>
          <w:rPr>
            <w:rFonts w:ascii="Cambria Math" w:hAnsi="Cambria Math"/>
          </w:rPr>
          <m:t>x</m:t>
        </m:r>
      </m:oMath>
      <w:r>
        <w:t xml:space="preserve"> in the time series deviates significantly from the moving average value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 xml:space="preserve"> </m:t>
        </m:r>
      </m:oMath>
      <w:r>
        <w:t xml:space="preserve">using the standard deviation </w:t>
      </w:r>
      <m:oMath>
        <m:r>
          <w:rPr>
            <w:rFonts w:ascii="Cambria Math" w:hAnsi="Cambria Math"/>
          </w:rPr>
          <m:t>s</m:t>
        </m:r>
      </m:oMath>
      <w:r>
        <w:t xml:space="preserve"> over the window</w:t>
      </w:r>
      <w:r w:rsidR="002F2774">
        <w:t>,</w:t>
      </w:r>
      <w:r>
        <w:t xml:space="preserve"> an outlier is detected and the data point </w:t>
      </w:r>
      <m:oMath>
        <m:r>
          <w:rPr>
            <w:rFonts w:ascii="Cambria Math" w:hAnsi="Cambria Math"/>
          </w:rPr>
          <m:t>x</m:t>
        </m:r>
      </m:oMath>
      <w:r w:rsidR="00483518">
        <w:t xml:space="preserve"> </w:t>
      </w:r>
      <w:r>
        <w:t xml:space="preserve">is replaced with its moving average value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2148D1">
        <w:t>, as in Eq. (1)</w:t>
      </w:r>
      <w:r w:rsidR="00B225C7">
        <w:t xml:space="preserve">, where </w:t>
      </w:r>
      <m:oMath>
        <m:r>
          <w:rPr>
            <w:rFonts w:ascii="Cambria Math" w:hAnsi="Cambria Math"/>
          </w:rPr>
          <m:t>δ</m:t>
        </m:r>
      </m:oMath>
      <w:r w:rsidR="00B225C7">
        <w:t xml:space="preserve"> is the Z-score.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22"/>
        <w:gridCol w:w="965"/>
      </w:tblGrid>
      <w:tr w:rsidR="00196A57" w:rsidRPr="00A94774" w14:paraId="396FC0F0" w14:textId="77777777" w:rsidTr="003F0C57">
        <w:tc>
          <w:tcPr>
            <w:tcW w:w="6317" w:type="dxa"/>
            <w:shd w:val="clear" w:color="auto" w:fill="auto"/>
            <w:vAlign w:val="center"/>
          </w:tcPr>
          <w:p w14:paraId="54B3A749" w14:textId="2D69BD19" w:rsidR="00196A57" w:rsidRPr="00A94774" w:rsidRDefault="00196A57" w:rsidP="000C4809">
            <w:pPr>
              <w:pStyle w:val="Els-body-text"/>
              <w:rPr>
                <w:lang w:val="en-GB"/>
              </w:rPr>
            </w:pPr>
            <m:oMath>
              <m:r>
                <w:rPr>
                  <w:rFonts w:ascii="Cambria Math" w:hAnsi="Cambria Math"/>
                </w:rPr>
                <m:t xml:space="preserve">δ =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 xml:space="preserve">x- </m:t>
                      </m:r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 xml:space="preserve"> </m:t>
                      </m:r>
                    </m:num>
                    <m:den>
                      <m:acc>
                        <m:ac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 &gt; 2</m:t>
              </m:r>
            </m:oMath>
            <w:r>
              <w:t xml:space="preserve">,  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B258519" w14:textId="77777777" w:rsidR="00196A57" w:rsidRPr="00A94774" w:rsidRDefault="00196A57" w:rsidP="003F0C5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275DD7DC" w14:textId="77777777" w:rsidR="00737A70" w:rsidRDefault="00D26C13" w:rsidP="00C436D3">
      <w:pPr>
        <w:pStyle w:val="Els-2ndorder-head"/>
      </w:pPr>
      <w:r>
        <w:t xml:space="preserve">Gaussian process regression </w:t>
      </w:r>
    </w:p>
    <w:p w14:paraId="2124C5A7" w14:textId="480EB79A" w:rsidR="007F5FFE" w:rsidRDefault="00737A70" w:rsidP="00C436D3">
      <w:pPr>
        <w:pStyle w:val="Els-2ndorder-head"/>
        <w:numPr>
          <w:ilvl w:val="0"/>
          <w:numId w:val="0"/>
        </w:numPr>
        <w:rPr>
          <w:i w:val="0"/>
        </w:rPr>
      </w:pPr>
      <w:r w:rsidRPr="00737A70">
        <w:rPr>
          <w:i w:val="0"/>
        </w:rPr>
        <w:t xml:space="preserve">Gaussian Process (GP) regression is </w:t>
      </w:r>
      <w:r w:rsidR="0069417E">
        <w:rPr>
          <w:i w:val="0"/>
        </w:rPr>
        <w:t xml:space="preserve">used for the </w:t>
      </w:r>
      <w:r w:rsidR="001E7CC1">
        <w:rPr>
          <w:i w:val="0"/>
        </w:rPr>
        <w:t xml:space="preserve">energy demand </w:t>
      </w:r>
      <w:r w:rsidR="00436DB0">
        <w:rPr>
          <w:i w:val="0"/>
        </w:rPr>
        <w:t xml:space="preserve">and production </w:t>
      </w:r>
      <w:r w:rsidR="00A120F8">
        <w:rPr>
          <w:i w:val="0"/>
        </w:rPr>
        <w:t>forecasts</w:t>
      </w:r>
      <w:r w:rsidRPr="00737A70">
        <w:rPr>
          <w:i w:val="0"/>
        </w:rPr>
        <w:t>. GP is a machine learning method that works well with small data sets</w:t>
      </w:r>
      <w:r w:rsidR="00DD5EAE" w:rsidRPr="00737A70">
        <w:rPr>
          <w:i w:val="0"/>
        </w:rPr>
        <w:t xml:space="preserve"> </w:t>
      </w:r>
      <w:r w:rsidR="00DD5EAE">
        <w:rPr>
          <w:i w:val="0"/>
        </w:rPr>
        <w:t>(</w:t>
      </w:r>
      <w:r w:rsidRPr="00737A70">
        <w:rPr>
          <w:i w:val="0"/>
        </w:rPr>
        <w:t>Rasmussen</w:t>
      </w:r>
      <w:r w:rsidR="001B4409">
        <w:rPr>
          <w:i w:val="0"/>
        </w:rPr>
        <w:t xml:space="preserve"> and Williams</w:t>
      </w:r>
      <w:r w:rsidR="00DD5EAE">
        <w:rPr>
          <w:i w:val="0"/>
        </w:rPr>
        <w:t xml:space="preserve">, </w:t>
      </w:r>
      <w:r w:rsidRPr="00737A70">
        <w:rPr>
          <w:i w:val="0"/>
        </w:rPr>
        <w:t>2006</w:t>
      </w:r>
      <w:r w:rsidR="00DD5EAE">
        <w:rPr>
          <w:i w:val="0"/>
        </w:rPr>
        <w:t>)</w:t>
      </w:r>
      <w:r w:rsidRPr="00737A70">
        <w:rPr>
          <w:i w:val="0"/>
        </w:rPr>
        <w:t>, which makes it well suited for the data set used in this article. GPs are non-parametric, probabilistic kernel methods</w:t>
      </w:r>
      <w:r w:rsidR="00D50B07">
        <w:rPr>
          <w:i w:val="0"/>
        </w:rPr>
        <w:t xml:space="preserve"> that</w:t>
      </w:r>
      <w:r w:rsidRPr="00737A70">
        <w:rPr>
          <w:i w:val="0"/>
        </w:rPr>
        <w:t xml:space="preserve"> aim to identify an unknown function </w:t>
      </w:r>
      <m:oMath>
        <m:r>
          <w:rPr>
            <w:rFonts w:ascii="Cambria Math" w:hAnsi="Cambria Math"/>
          </w:rPr>
          <m:t>f</m:t>
        </m:r>
      </m:oMath>
      <w:r w:rsidRPr="00737A70">
        <w:rPr>
          <w:i w:val="0"/>
        </w:rPr>
        <w:t xml:space="preserve"> from data. A zero-mean function with automatic relevance squared-exponential covariance is chosen. The log marginal likelihood is used to find the hyperparameters</w:t>
      </w:r>
      <w:r w:rsidR="007B4C52">
        <w:rPr>
          <w:i w:val="0"/>
        </w:rPr>
        <w:t xml:space="preserve"> from a training data set</w:t>
      </w:r>
      <w:r w:rsidRPr="00737A70">
        <w:rPr>
          <w:i w:val="0"/>
        </w:rPr>
        <w:t xml:space="preserve">. </w:t>
      </w:r>
    </w:p>
    <w:p w14:paraId="4FE37E74" w14:textId="77777777" w:rsidR="007F5FFE" w:rsidRPr="000C4809" w:rsidRDefault="007F5FFE" w:rsidP="00C436D3">
      <w:pPr>
        <w:pStyle w:val="Els-body-text"/>
        <w:rPr>
          <w:sz w:val="16"/>
          <w:szCs w:val="16"/>
        </w:rPr>
      </w:pPr>
    </w:p>
    <w:p w14:paraId="2373D643" w14:textId="130856E4" w:rsidR="007F5FFE" w:rsidRDefault="002B13A3" w:rsidP="00C436D3">
      <w:pPr>
        <w:pStyle w:val="Els-2ndorder-head"/>
      </w:pPr>
      <w:r>
        <w:t xml:space="preserve">Forecast methodology </w:t>
      </w:r>
    </w:p>
    <w:p w14:paraId="62B5CD8F" w14:textId="0D05604E" w:rsidR="002B13A3" w:rsidRDefault="007F5FFE" w:rsidP="00C436D3">
      <w:pPr>
        <w:pStyle w:val="Els-2ndorder-head"/>
        <w:numPr>
          <w:ilvl w:val="0"/>
          <w:numId w:val="0"/>
        </w:numPr>
        <w:rPr>
          <w:i w:val="0"/>
        </w:rPr>
      </w:pPr>
      <w:r w:rsidRPr="002B13A3">
        <w:rPr>
          <w:i w:val="0"/>
        </w:rPr>
        <w:t xml:space="preserve">A hybrid forecast strategy is applied consisting of two parts, a data-driven model and a parametric model that is created based on expected production profiles of oil and gas fields. In case a parametric model is used it </w:t>
      </w:r>
      <w:r w:rsidR="007B4C52">
        <w:rPr>
          <w:i w:val="0"/>
        </w:rPr>
        <w:t xml:space="preserve">can be </w:t>
      </w:r>
      <w:r w:rsidRPr="002B13A3">
        <w:rPr>
          <w:i w:val="0"/>
        </w:rPr>
        <w:t xml:space="preserve">supplemented by a data-driven model that learns </w:t>
      </w:r>
      <w:r w:rsidR="002F59D1">
        <w:rPr>
          <w:i w:val="0"/>
        </w:rPr>
        <w:t xml:space="preserve">to estimate the difference between real data and parametric model. </w:t>
      </w:r>
    </w:p>
    <w:p w14:paraId="700423D7" w14:textId="77777777" w:rsidR="00B45D1E" w:rsidRPr="000C4809" w:rsidRDefault="00B45D1E" w:rsidP="000C4809">
      <w:pPr>
        <w:pStyle w:val="Els-body-text"/>
        <w:rPr>
          <w:sz w:val="16"/>
          <w:szCs w:val="16"/>
        </w:rPr>
      </w:pPr>
    </w:p>
    <w:p w14:paraId="7DB13BB9" w14:textId="3BDCC5FC" w:rsidR="006403AC" w:rsidRDefault="006403AC" w:rsidP="00C436D3">
      <w:pPr>
        <w:pStyle w:val="Els-3rdorder-head"/>
      </w:pPr>
      <w:r>
        <w:t>Parametric models</w:t>
      </w:r>
    </w:p>
    <w:p w14:paraId="14EEB942" w14:textId="2C04CE6A" w:rsidR="00D26C13" w:rsidRDefault="006F570B" w:rsidP="00C436D3">
      <w:pPr>
        <w:pStyle w:val="Els-3rdorder-head"/>
        <w:numPr>
          <w:ilvl w:val="0"/>
          <w:numId w:val="0"/>
        </w:numPr>
        <w:rPr>
          <w:i w:val="0"/>
        </w:rPr>
      </w:pPr>
      <w:r>
        <w:rPr>
          <w:i w:val="0"/>
        </w:rPr>
        <w:t>Parametric</w:t>
      </w:r>
      <w:r w:rsidRPr="00DD0B61">
        <w:rPr>
          <w:i w:val="0"/>
        </w:rPr>
        <w:t xml:space="preserve"> </w:t>
      </w:r>
      <w:r w:rsidR="00DD0B61" w:rsidRPr="00DD0B61">
        <w:rPr>
          <w:i w:val="0"/>
        </w:rPr>
        <w:t xml:space="preserve">models are included in the </w:t>
      </w:r>
      <w:r w:rsidR="004F1751">
        <w:rPr>
          <w:i w:val="0"/>
        </w:rPr>
        <w:t>forecast</w:t>
      </w:r>
      <w:r w:rsidR="004F1751" w:rsidRPr="00DD0B61">
        <w:rPr>
          <w:i w:val="0"/>
        </w:rPr>
        <w:t xml:space="preserve"> </w:t>
      </w:r>
      <w:r w:rsidR="00DD0B61" w:rsidRPr="00DD0B61">
        <w:rPr>
          <w:i w:val="0"/>
        </w:rPr>
        <w:t xml:space="preserve">framework to allow inclusion of expert knowledge into the </w:t>
      </w:r>
      <w:r w:rsidR="004F1751">
        <w:rPr>
          <w:i w:val="0"/>
        </w:rPr>
        <w:t>forecast</w:t>
      </w:r>
      <w:r w:rsidR="00DD0B61" w:rsidRPr="00DD0B61">
        <w:rPr>
          <w:i w:val="0"/>
        </w:rPr>
        <w:t xml:space="preserve">. </w:t>
      </w:r>
      <w:r w:rsidR="00DD0B61">
        <w:rPr>
          <w:i w:val="0"/>
        </w:rPr>
        <w:t>P</w:t>
      </w:r>
      <w:r w:rsidR="00DD0B61" w:rsidRPr="00DD0B61">
        <w:rPr>
          <w:i w:val="0"/>
        </w:rPr>
        <w:t xml:space="preserve">arametric models for </w:t>
      </w:r>
      <w:r w:rsidR="00CD4249" w:rsidRPr="00DD0B61">
        <w:rPr>
          <w:i w:val="0"/>
        </w:rPr>
        <w:t>oil</w:t>
      </w:r>
      <w:r w:rsidR="00DD0B61" w:rsidRPr="00DD0B61">
        <w:rPr>
          <w:i w:val="0"/>
        </w:rPr>
        <w:t>, gas</w:t>
      </w:r>
      <w:r w:rsidR="00B45D1E">
        <w:rPr>
          <w:i w:val="0"/>
        </w:rPr>
        <w:t>,</w:t>
      </w:r>
      <w:r w:rsidR="00DD0B61" w:rsidRPr="00DD0B61">
        <w:rPr>
          <w:i w:val="0"/>
        </w:rPr>
        <w:t xml:space="preserve"> and water production are included. The purpose is to include </w:t>
      </w:r>
      <w:r w:rsidR="003558A1">
        <w:rPr>
          <w:i w:val="0"/>
        </w:rPr>
        <w:t xml:space="preserve">the </w:t>
      </w:r>
      <w:r w:rsidR="00DD0B61" w:rsidRPr="00DD0B61">
        <w:rPr>
          <w:i w:val="0"/>
        </w:rPr>
        <w:t xml:space="preserve">knowledge that </w:t>
      </w:r>
      <w:r w:rsidR="003558A1">
        <w:rPr>
          <w:i w:val="0"/>
        </w:rPr>
        <w:t xml:space="preserve">as </w:t>
      </w:r>
      <w:r w:rsidR="00DD0B61" w:rsidRPr="00DD0B61">
        <w:rPr>
          <w:i w:val="0"/>
        </w:rPr>
        <w:t xml:space="preserve">oil and gas production </w:t>
      </w:r>
      <w:r w:rsidR="000776C7" w:rsidRPr="00DD0B61">
        <w:rPr>
          <w:i w:val="0"/>
        </w:rPr>
        <w:t>de</w:t>
      </w:r>
      <w:r w:rsidR="000776C7">
        <w:rPr>
          <w:i w:val="0"/>
        </w:rPr>
        <w:t>clines,</w:t>
      </w:r>
      <w:r w:rsidR="000776C7" w:rsidRPr="00DD0B61">
        <w:rPr>
          <w:i w:val="0"/>
        </w:rPr>
        <w:t xml:space="preserve"> water</w:t>
      </w:r>
      <w:r w:rsidR="00DD0B61" w:rsidRPr="00DD0B61">
        <w:rPr>
          <w:i w:val="0"/>
        </w:rPr>
        <w:t xml:space="preserve"> production increases over the lifetime</w:t>
      </w:r>
      <w:r w:rsidR="00EE3432">
        <w:rPr>
          <w:i w:val="0"/>
        </w:rPr>
        <w:t xml:space="preserve"> of a field</w:t>
      </w:r>
      <w:r w:rsidR="00DD0B61" w:rsidRPr="00DD0B61">
        <w:rPr>
          <w:i w:val="0"/>
        </w:rPr>
        <w:t>. Exponential decay is used for oil and gas production</w:t>
      </w:r>
      <w:r w:rsidR="00FB1113" w:rsidRPr="00DD0B61">
        <w:rPr>
          <w:i w:val="0"/>
        </w:rPr>
        <w:t xml:space="preserve"> </w:t>
      </w:r>
      <w:r w:rsidR="006346E0">
        <w:rPr>
          <w:i w:val="0"/>
        </w:rPr>
        <w:t>while</w:t>
      </w:r>
      <w:r w:rsidR="006346E0" w:rsidRPr="006346E0">
        <w:rPr>
          <w:i w:val="0"/>
        </w:rPr>
        <w:t xml:space="preserve"> </w:t>
      </w:r>
      <w:r w:rsidR="006346E0">
        <w:rPr>
          <w:i w:val="0"/>
        </w:rPr>
        <w:t>l</w:t>
      </w:r>
      <w:r w:rsidR="006346E0" w:rsidRPr="006346E0">
        <w:rPr>
          <w:i w:val="0"/>
        </w:rPr>
        <w:t xml:space="preserve">ogistic growth is used for </w:t>
      </w:r>
      <w:r w:rsidR="006403AC" w:rsidRPr="006346E0">
        <w:rPr>
          <w:i w:val="0"/>
        </w:rPr>
        <w:t>water</w:t>
      </w:r>
      <w:r w:rsidR="006346E0" w:rsidRPr="006346E0">
        <w:rPr>
          <w:i w:val="0"/>
        </w:rPr>
        <w:t xml:space="preserve"> productio</w:t>
      </w:r>
      <w:r w:rsidR="006346E0">
        <w:rPr>
          <w:i w:val="0"/>
        </w:rPr>
        <w:t>n</w:t>
      </w:r>
      <w:r w:rsidR="006403AC">
        <w:rPr>
          <w:i w:val="0"/>
        </w:rPr>
        <w:t>.</w:t>
      </w:r>
      <w:r w:rsidR="00A6466B">
        <w:rPr>
          <w:i w:val="0"/>
        </w:rPr>
        <w:t xml:space="preserve"> These models are chosen since they usually fit well with </w:t>
      </w:r>
      <w:r w:rsidR="008203DB">
        <w:rPr>
          <w:i w:val="0"/>
        </w:rPr>
        <w:t>the expected production profiles of and oil and gas field</w:t>
      </w:r>
      <w:r w:rsidR="00E754C1">
        <w:rPr>
          <w:i w:val="0"/>
        </w:rPr>
        <w:t xml:space="preserve"> (Holt </w:t>
      </w:r>
      <w:r w:rsidR="007F0D28">
        <w:rPr>
          <w:i w:val="0"/>
        </w:rPr>
        <w:t xml:space="preserve">and </w:t>
      </w:r>
      <w:proofErr w:type="spellStart"/>
      <w:r w:rsidR="007F0D28">
        <w:rPr>
          <w:i w:val="0"/>
        </w:rPr>
        <w:t>Schümann</w:t>
      </w:r>
      <w:proofErr w:type="spellEnd"/>
      <w:r w:rsidR="007F0D28">
        <w:rPr>
          <w:i w:val="0"/>
        </w:rPr>
        <w:t>, 2022)</w:t>
      </w:r>
      <w:r w:rsidR="008203DB">
        <w:rPr>
          <w:i w:val="0"/>
        </w:rPr>
        <w:t>.</w:t>
      </w:r>
      <w:r w:rsidR="006403AC">
        <w:rPr>
          <w:i w:val="0"/>
        </w:rPr>
        <w:t xml:space="preserve"> </w:t>
      </w:r>
      <w:r w:rsidR="006403AC" w:rsidRPr="006403AC">
        <w:rPr>
          <w:i w:val="0"/>
        </w:rPr>
        <w:t xml:space="preserve">The data set is normalized before the parameter estimation step </w:t>
      </w:r>
      <w:r w:rsidR="00183081">
        <w:rPr>
          <w:i w:val="0"/>
        </w:rPr>
        <w:t>by</w:t>
      </w:r>
      <w:r w:rsidR="00183081" w:rsidRPr="006403AC">
        <w:rPr>
          <w:i w:val="0"/>
        </w:rPr>
        <w:t xml:space="preserve"> </w:t>
      </w:r>
      <w:r w:rsidR="006403AC" w:rsidRPr="006403AC">
        <w:rPr>
          <w:i w:val="0"/>
        </w:rPr>
        <w:t>least squares is employed.</w:t>
      </w:r>
    </w:p>
    <w:p w14:paraId="0C99A471" w14:textId="77777777" w:rsidR="0007729F" w:rsidRPr="0007729F" w:rsidRDefault="0007729F" w:rsidP="000C4809">
      <w:pPr>
        <w:pStyle w:val="Els-body-text"/>
      </w:pPr>
    </w:p>
    <w:p w14:paraId="35F5246A" w14:textId="502B7305" w:rsidR="006403AC" w:rsidRDefault="006403AC" w:rsidP="00C436D3">
      <w:pPr>
        <w:pStyle w:val="Els-3rdorder-head"/>
      </w:pPr>
      <w:r>
        <w:t>Data</w:t>
      </w:r>
      <w:r w:rsidR="006B51E4">
        <w:t>-</w:t>
      </w:r>
      <w:r>
        <w:t>driven models</w:t>
      </w:r>
    </w:p>
    <w:p w14:paraId="63041333" w14:textId="06D41029" w:rsidR="006403AC" w:rsidRPr="006403AC" w:rsidRDefault="00785478" w:rsidP="00C436D3">
      <w:pPr>
        <w:pStyle w:val="Els-body-text"/>
      </w:pPr>
      <w:r w:rsidRPr="00785478">
        <w:t>GP regression is employed for the data</w:t>
      </w:r>
      <w:r w:rsidR="00ED6E67">
        <w:t>-</w:t>
      </w:r>
      <w:r w:rsidRPr="00785478">
        <w:t xml:space="preserve">driven model. </w:t>
      </w:r>
      <w:proofErr w:type="gramStart"/>
      <w:r w:rsidRPr="00785478">
        <w:t>Alternatively</w:t>
      </w:r>
      <w:proofErr w:type="gramEnd"/>
      <w:r w:rsidRPr="00785478">
        <w:t xml:space="preserve"> linear regression is also tested to evaluate the advantage of using a nonlinear model. In both cases a (non)</w:t>
      </w:r>
      <w:r w:rsidR="001F5E9D">
        <w:t xml:space="preserve"> </w:t>
      </w:r>
      <w:r w:rsidRPr="00785478">
        <w:t>linear autoregressive model with exogenous inputs</w:t>
      </w:r>
      <w:r w:rsidR="001060CD">
        <w:t xml:space="preserve"> (</w:t>
      </w:r>
      <w:r w:rsidR="001060CD" w:rsidRPr="00785478">
        <w:t>ARX-type</w:t>
      </w:r>
      <w:r w:rsidR="001060CD">
        <w:t>)</w:t>
      </w:r>
      <w:r w:rsidRPr="00785478">
        <w:t xml:space="preserve"> </w:t>
      </w:r>
      <w:r w:rsidR="00460D8D">
        <w:t xml:space="preserve">was chosen </w:t>
      </w:r>
      <w:r>
        <w:t>for the</w:t>
      </w:r>
      <w:r w:rsidRPr="00785478">
        <w:t xml:space="preserve"> model </w:t>
      </w:r>
      <w:r w:rsidRPr="00785478">
        <w:lastRenderedPageBreak/>
        <w:t>structure</w:t>
      </w:r>
      <w:r w:rsidR="004E5007">
        <w:t xml:space="preserve">. </w:t>
      </w:r>
      <w:r w:rsidR="004E5007" w:rsidRPr="004E5007">
        <w:t>All outputs of the previous time step are fed back to the model to predict the next time step.</w:t>
      </w:r>
    </w:p>
    <w:p w14:paraId="251DB026" w14:textId="77777777" w:rsidR="00023A77" w:rsidRPr="000C4809" w:rsidRDefault="00023A77" w:rsidP="00C436D3">
      <w:pPr>
        <w:pStyle w:val="Els-body-text"/>
        <w:rPr>
          <w:sz w:val="16"/>
          <w:szCs w:val="16"/>
        </w:rPr>
      </w:pPr>
    </w:p>
    <w:p w14:paraId="01EC6DE0" w14:textId="0E61A245" w:rsidR="00D26C13" w:rsidRDefault="0046426E" w:rsidP="00C436D3">
      <w:pPr>
        <w:pStyle w:val="Els-2ndorder-head"/>
      </w:pPr>
      <w:r>
        <w:t>Performance parameters</w:t>
      </w:r>
    </w:p>
    <w:p w14:paraId="43F7CE23" w14:textId="75151F89" w:rsidR="00842731" w:rsidRDefault="00131DAC" w:rsidP="00F80B6B">
      <w:pPr>
        <w:pStyle w:val="Els-body-text"/>
      </w:pPr>
      <w:r w:rsidRPr="00131DAC">
        <w:t xml:space="preserve">The performance of the </w:t>
      </w:r>
      <w:r w:rsidR="004F1751">
        <w:t>forecast</w:t>
      </w:r>
      <w:r w:rsidR="004F1751" w:rsidRPr="00131DAC">
        <w:t xml:space="preserve"> </w:t>
      </w:r>
      <w:r w:rsidRPr="00131DAC">
        <w:t xml:space="preserve">models is evaluated calculating normalized root-mean square error (NRMS) </w:t>
      </w:r>
      <w:r w:rsidR="008255E4">
        <w:t xml:space="preserve">on the test data set. </w:t>
      </w:r>
      <w:r w:rsidR="00F10BAC">
        <w:t xml:space="preserve"> </w:t>
      </w:r>
      <w:r w:rsidR="00F80B6B">
        <w:t xml:space="preserve">We set as </w:t>
      </w:r>
      <w:r w:rsidR="00842731">
        <w:t xml:space="preserve">boundary the offshore </w:t>
      </w:r>
      <w:r w:rsidR="007A4143">
        <w:t>facility and</w:t>
      </w:r>
      <w:r w:rsidR="00842731">
        <w:t xml:space="preserve"> assume that the studied offshore systems are energetically self-sufficient. We use the energy ratio</w:t>
      </w:r>
      <w:r w:rsidR="00DC1E7C">
        <w:t xml:space="preserve"> (ER)</w:t>
      </w:r>
      <w:r w:rsidR="00566D6E">
        <w:t>, Eq. (2),</w:t>
      </w:r>
      <w:r w:rsidR="00842731">
        <w:t xml:space="preserve"> to quantify the energy efficiency of the offshore facility: </w:t>
      </w:r>
    </w:p>
    <w:p w14:paraId="231C6D10" w14:textId="082296D6" w:rsidR="00842731" w:rsidRDefault="00842731" w:rsidP="00C436D3">
      <w:pPr>
        <w:pStyle w:val="Els-body-tex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123"/>
        <w:gridCol w:w="964"/>
      </w:tblGrid>
      <w:tr w:rsidR="00B75FC5" w:rsidRPr="00A94774" w14:paraId="4D5E9515" w14:textId="77777777" w:rsidTr="003F0C57">
        <w:tc>
          <w:tcPr>
            <w:tcW w:w="6317" w:type="dxa"/>
            <w:shd w:val="clear" w:color="auto" w:fill="auto"/>
            <w:vAlign w:val="center"/>
          </w:tcPr>
          <w:p w14:paraId="763EF194" w14:textId="51D83D2A" w:rsidR="00B75FC5" w:rsidRPr="00566D6E" w:rsidRDefault="00B75FC5" w:rsidP="003F0C57">
            <w:pPr>
              <w:pStyle w:val="Els-body-text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ER 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gas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exp</m:t>
                        </m:r>
                      </m:sup>
                    </m:sSubSup>
                    <m: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oil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exp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gas</m:t>
                        </m:r>
                      </m:sub>
                      <m:sup>
                        <m:r>
                          <w:rPr>
                            <w:rFonts w:ascii="Cambria Math" w:hAnsi="Cambria Math"/>
                          </w:rPr>
                          <m:t>pow</m:t>
                        </m:r>
                      </m:sup>
                    </m:sSubSup>
                  </m:den>
                </m:f>
              </m:oMath>
            </m:oMathPara>
          </w:p>
        </w:tc>
        <w:tc>
          <w:tcPr>
            <w:tcW w:w="985" w:type="dxa"/>
            <w:shd w:val="clear" w:color="auto" w:fill="auto"/>
            <w:vAlign w:val="center"/>
          </w:tcPr>
          <w:p w14:paraId="67C6B6C5" w14:textId="4EFB8527" w:rsidR="00B75FC5" w:rsidRPr="00A94774" w:rsidRDefault="00B75FC5" w:rsidP="003F0C5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 w:rsidR="00566D6E"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</w:tbl>
    <w:p w14:paraId="2B1DA03D" w14:textId="77777777" w:rsidR="00B75FC5" w:rsidRDefault="00B75FC5" w:rsidP="00C436D3">
      <w:pPr>
        <w:pStyle w:val="Els-body-text"/>
      </w:pPr>
    </w:p>
    <w:p w14:paraId="378996CF" w14:textId="4A72A480" w:rsidR="005F335B" w:rsidRPr="005F335B" w:rsidRDefault="00842731" w:rsidP="00C436D3">
      <w:pPr>
        <w:pStyle w:val="Els-body-text"/>
      </w:pPr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gas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oil</m:t>
            </m:r>
          </m:sub>
          <m:sup>
            <m:r>
              <w:rPr>
                <w:rFonts w:ascii="Cambria Math" w:hAnsi="Cambria Math"/>
              </w:rPr>
              <m:t>exp</m:t>
            </m:r>
          </m:sup>
        </m:sSubSup>
      </m:oMath>
      <w:r>
        <w:t xml:space="preserve"> correspond to the energy in the oil and natural gas exports to the onshore facilities</w:t>
      </w:r>
      <w:r w:rsidR="00177FB7">
        <w:t xml:space="preserve">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gas</m:t>
            </m:r>
          </m:sub>
          <m:sup>
            <m:r>
              <w:rPr>
                <w:rFonts w:ascii="Cambria Math" w:hAnsi="Cambria Math"/>
              </w:rPr>
              <m:t>pow</m:t>
            </m:r>
          </m:sup>
        </m:sSubSup>
      </m:oMath>
      <w:r w:rsidR="00F50A7F">
        <w:t xml:space="preserve">corresponds to the direct energy used to provide the power required for offshore operations, typically </w:t>
      </w:r>
      <w:r w:rsidR="003059A8">
        <w:t xml:space="preserve">for natural gas via gas turbines. </w:t>
      </w:r>
    </w:p>
    <w:p w14:paraId="125682EB" w14:textId="6B549F78" w:rsidR="005F335B" w:rsidRDefault="001502BB" w:rsidP="00C436D3">
      <w:pPr>
        <w:pStyle w:val="Els-1storder-head"/>
      </w:pPr>
      <w:r>
        <w:t xml:space="preserve">Results </w:t>
      </w:r>
    </w:p>
    <w:p w14:paraId="6A5DB9A6" w14:textId="1D45DA7C" w:rsidR="001502BB" w:rsidRDefault="002E3A7F" w:rsidP="00C436D3">
      <w:pPr>
        <w:pStyle w:val="Els-body-text"/>
      </w:pPr>
      <w:r>
        <w:t>Here</w:t>
      </w:r>
      <w:r w:rsidR="00C30FEA">
        <w:t xml:space="preserve">, we present the results of the </w:t>
      </w:r>
      <w:r w:rsidR="00A120F8">
        <w:t xml:space="preserve">proposed </w:t>
      </w:r>
      <w:r w:rsidR="00C30FEA">
        <w:t>forecast methodology for the Brage field</w:t>
      </w:r>
      <w:r w:rsidR="00612366">
        <w:t xml:space="preserve"> on the NCS</w:t>
      </w:r>
      <w:r w:rsidR="00C30FEA">
        <w:t xml:space="preserve">. </w:t>
      </w:r>
      <w:r w:rsidR="001C0CF5">
        <w:t>The order of the</w:t>
      </w:r>
      <w:r w:rsidR="006301D5">
        <w:t xml:space="preserve"> </w:t>
      </w:r>
      <w:r w:rsidR="001C0CF5">
        <w:t>ARX-type model was varied</w:t>
      </w:r>
      <w:r w:rsidR="001342EA">
        <w:t xml:space="preserve">. In addition, </w:t>
      </w:r>
      <w:r w:rsidR="004F1751">
        <w:t xml:space="preserve">forecasts </w:t>
      </w:r>
      <w:r w:rsidR="006301D5">
        <w:t>were created with only the parametric model, a hybrid model of parametric and data-driven models</w:t>
      </w:r>
      <w:r w:rsidR="00C043B8">
        <w:t>,</w:t>
      </w:r>
      <w:r w:rsidR="006301D5">
        <w:t xml:space="preserve"> and purely data-driven models</w:t>
      </w:r>
      <w:r w:rsidR="00C043B8">
        <w:t>, respectively</w:t>
      </w:r>
      <w:r w:rsidR="006301D5">
        <w:t xml:space="preserve">. </w:t>
      </w:r>
      <w:r w:rsidR="00584EDC" w:rsidRPr="00402186">
        <w:rPr>
          <w:lang w:val="en-GB"/>
        </w:rPr>
        <w:fldChar w:fldCharType="begin"/>
      </w:r>
      <w:r w:rsidR="00584EDC" w:rsidRPr="00402186">
        <w:rPr>
          <w:lang w:val="en-GB"/>
        </w:rPr>
        <w:instrText xml:space="preserve"> REF _Ref152080289 \h </w:instrText>
      </w:r>
      <w:r w:rsidR="00584EDC">
        <w:rPr>
          <w:lang w:val="en-GB"/>
        </w:rPr>
        <w:instrText xml:space="preserve"> \* MERGEFORMAT </w:instrText>
      </w:r>
      <w:r w:rsidR="00584EDC" w:rsidRPr="00402186">
        <w:rPr>
          <w:lang w:val="en-GB"/>
        </w:rPr>
      </w:r>
      <w:r w:rsidR="00584EDC" w:rsidRPr="00402186">
        <w:rPr>
          <w:lang w:val="en-GB"/>
        </w:rPr>
        <w:fldChar w:fldCharType="separate"/>
      </w:r>
      <w:r w:rsidR="00584EDC" w:rsidRPr="000C4809">
        <w:t xml:space="preserve">Figure </w:t>
      </w:r>
      <w:r w:rsidR="00584EDC" w:rsidRPr="000C4809">
        <w:rPr>
          <w:noProof/>
        </w:rPr>
        <w:t>1</w:t>
      </w:r>
      <w:r w:rsidR="00584EDC" w:rsidRPr="00402186">
        <w:rPr>
          <w:lang w:val="en-GB"/>
        </w:rPr>
        <w:fldChar w:fldCharType="end"/>
      </w:r>
      <w:r w:rsidR="00584EDC" w:rsidRPr="00402186">
        <w:rPr>
          <w:lang w:val="en-GB"/>
        </w:rPr>
        <w:t xml:space="preserve"> shows</w:t>
      </w:r>
      <w:r w:rsidR="00584EDC">
        <w:rPr>
          <w:lang w:val="en-GB"/>
        </w:rPr>
        <w:t xml:space="preserve"> the training and test sets for oil and water production. Both parameters are</w:t>
      </w:r>
      <w:r w:rsidR="00584EDC" w:rsidRPr="008B5800">
        <w:rPr>
          <w:lang w:val="en-GB"/>
        </w:rPr>
        <w:t xml:space="preserve"> captured well with the parametric model</w:t>
      </w:r>
      <w:r w:rsidR="00584EDC">
        <w:rPr>
          <w:lang w:val="en-GB"/>
        </w:rPr>
        <w:t>, and t</w:t>
      </w:r>
      <w:r w:rsidR="00584EDC" w:rsidRPr="008B5800">
        <w:rPr>
          <w:lang w:val="en-GB"/>
        </w:rPr>
        <w:t xml:space="preserve">he </w:t>
      </w:r>
      <w:r w:rsidR="00584EDC">
        <w:rPr>
          <w:lang w:val="en-GB"/>
        </w:rPr>
        <w:t>forecast</w:t>
      </w:r>
      <w:r w:rsidR="00584EDC" w:rsidRPr="008B5800">
        <w:rPr>
          <w:lang w:val="en-GB"/>
        </w:rPr>
        <w:t xml:space="preserve"> performance over the test set</w:t>
      </w:r>
      <w:r w:rsidR="00584EDC">
        <w:rPr>
          <w:lang w:val="en-GB"/>
        </w:rPr>
        <w:t>, to the right of the dashed vertical line,</w:t>
      </w:r>
      <w:r w:rsidR="00584EDC" w:rsidRPr="008B5800">
        <w:rPr>
          <w:lang w:val="en-GB"/>
        </w:rPr>
        <w:t xml:space="preserve"> is very good.</w:t>
      </w:r>
    </w:p>
    <w:p w14:paraId="657192A3" w14:textId="77777777" w:rsidR="001A6532" w:rsidRDefault="001A6532" w:rsidP="00C436D3">
      <w:pPr>
        <w:pStyle w:val="Els-body-text"/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  <w:gridCol w:w="3538"/>
      </w:tblGrid>
      <w:tr w:rsidR="00EE3F68" w14:paraId="0F6FFD2A" w14:textId="77777777" w:rsidTr="00EE3F68">
        <w:trPr>
          <w:jc w:val="center"/>
        </w:trPr>
        <w:tc>
          <w:tcPr>
            <w:tcW w:w="3538" w:type="dxa"/>
            <w:vAlign w:val="bottom"/>
          </w:tcPr>
          <w:p w14:paraId="6B1ED8D0" w14:textId="1BDB90C7" w:rsidR="001A6532" w:rsidRDefault="00EE3F68" w:rsidP="00C436D3">
            <w:pPr>
              <w:pStyle w:val="Els-body-text"/>
            </w:pPr>
            <w:r>
              <w:rPr>
                <w:noProof/>
              </w:rPr>
              <w:drawing>
                <wp:inline distT="0" distB="0" distL="0" distR="0" wp14:anchorId="4ED65D5F" wp14:editId="2CBE7790">
                  <wp:extent cx="2099926" cy="1517188"/>
                  <wp:effectExtent l="0" t="0" r="0" b="6985"/>
                  <wp:docPr id="93601996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661" cy="1519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bottom"/>
          </w:tcPr>
          <w:p w14:paraId="1970977B" w14:textId="29404D65" w:rsidR="001A6532" w:rsidRDefault="00EE3F68" w:rsidP="005706A9">
            <w:pPr>
              <w:pStyle w:val="Els-body-text"/>
              <w:keepNext/>
            </w:pPr>
            <w:r>
              <w:rPr>
                <w:noProof/>
              </w:rPr>
              <w:drawing>
                <wp:inline distT="0" distB="0" distL="0" distR="0" wp14:anchorId="5FD77566" wp14:editId="19C08129">
                  <wp:extent cx="2005200" cy="1584000"/>
                  <wp:effectExtent l="0" t="0" r="0" b="0"/>
                  <wp:docPr id="185067572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00" cy="15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D7110" w14:textId="23C4149D" w:rsidR="00807B69" w:rsidRDefault="005706A9" w:rsidP="005706A9">
      <w:pPr>
        <w:pStyle w:val="Didascalia"/>
      </w:pPr>
      <w:bookmarkStart w:id="1" w:name="_Ref152080289"/>
      <w:r>
        <w:t xml:space="preserve">Figure </w:t>
      </w:r>
      <w:r w:rsidR="00D071B1">
        <w:fldChar w:fldCharType="begin"/>
      </w:r>
      <w:r w:rsidR="00D071B1">
        <w:instrText xml:space="preserve"> SEQ Figure \* ARABIC \s 1 </w:instrText>
      </w:r>
      <w:r w:rsidR="00D071B1">
        <w:fldChar w:fldCharType="separate"/>
      </w:r>
      <w:r w:rsidR="00D071B1">
        <w:rPr>
          <w:noProof/>
        </w:rPr>
        <w:t>1</w:t>
      </w:r>
      <w:r w:rsidR="00D071B1">
        <w:fldChar w:fldCharType="end"/>
      </w:r>
      <w:bookmarkEnd w:id="1"/>
      <w:r>
        <w:t xml:space="preserve"> </w:t>
      </w:r>
      <w:r w:rsidR="009E63D4">
        <w:t>Examples of parametric model fit for the Brage field</w:t>
      </w:r>
      <w:r w:rsidR="0092323C">
        <w:t>. The</w:t>
      </w:r>
      <w:r w:rsidR="001B280E">
        <w:t xml:space="preserve"> (red)</w:t>
      </w:r>
      <w:r w:rsidR="008765DF">
        <w:t xml:space="preserve"> dashed</w:t>
      </w:r>
      <w:r w:rsidR="0092323C">
        <w:t xml:space="preserve"> vertical line indicates the split between training and test set.</w:t>
      </w:r>
    </w:p>
    <w:p w14:paraId="412A0697" w14:textId="6A1D93BB" w:rsidR="005B3786" w:rsidRPr="008B5800" w:rsidRDefault="000B74B5" w:rsidP="00C436D3">
      <w:pPr>
        <w:pStyle w:val="Els-caption"/>
        <w:jc w:val="both"/>
        <w:rPr>
          <w:sz w:val="20"/>
          <w:lang w:val="en-GB"/>
        </w:rPr>
      </w:pPr>
      <w:r w:rsidRPr="008B5800">
        <w:rPr>
          <w:sz w:val="20"/>
          <w:lang w:val="en-GB"/>
        </w:rPr>
        <w:t>In a first step</w:t>
      </w:r>
      <w:r w:rsidR="006E3897">
        <w:rPr>
          <w:sz w:val="20"/>
          <w:lang w:val="en-GB"/>
        </w:rPr>
        <w:t>,</w:t>
      </w:r>
      <w:r w:rsidRPr="008B5800">
        <w:rPr>
          <w:sz w:val="20"/>
          <w:lang w:val="en-GB"/>
        </w:rPr>
        <w:t xml:space="preserve"> the one-step </w:t>
      </w:r>
      <w:r w:rsidR="004F1751">
        <w:rPr>
          <w:sz w:val="20"/>
          <w:lang w:val="en-GB"/>
        </w:rPr>
        <w:t>forecast</w:t>
      </w:r>
      <w:r w:rsidR="004F1751" w:rsidRPr="008B5800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performance of the </w:t>
      </w:r>
      <w:r w:rsidR="004F1751">
        <w:rPr>
          <w:sz w:val="20"/>
          <w:lang w:val="en-GB"/>
        </w:rPr>
        <w:t>forecast</w:t>
      </w:r>
      <w:r w:rsidR="004F1751" w:rsidRPr="008B5800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methodology is evaluated. Consequently, one month into the future is predicted. For the Brage field the linear regression models usually outperform the GP regression models </w:t>
      </w:r>
      <w:r w:rsidR="00E505DB">
        <w:rPr>
          <w:sz w:val="20"/>
          <w:lang w:val="en-GB"/>
        </w:rPr>
        <w:t xml:space="preserve">in accuracy </w:t>
      </w:r>
      <w:r w:rsidRPr="008B5800">
        <w:rPr>
          <w:sz w:val="20"/>
          <w:lang w:val="en-GB"/>
        </w:rPr>
        <w:t>for all outputs</w:t>
      </w:r>
      <w:r w:rsidR="007E68F8">
        <w:rPr>
          <w:sz w:val="20"/>
          <w:lang w:val="en-GB"/>
        </w:rPr>
        <w:t>.</w:t>
      </w:r>
      <w:r w:rsidRPr="008B5800">
        <w:rPr>
          <w:sz w:val="20"/>
          <w:lang w:val="en-GB"/>
        </w:rPr>
        <w:t xml:space="preserve"> </w:t>
      </w:r>
      <w:r w:rsidR="007E68F8">
        <w:rPr>
          <w:sz w:val="20"/>
          <w:lang w:val="en-GB"/>
        </w:rPr>
        <w:t xml:space="preserve">One exception is </w:t>
      </w:r>
      <w:r w:rsidRPr="008B5800">
        <w:rPr>
          <w:sz w:val="20"/>
          <w:lang w:val="en-GB"/>
        </w:rPr>
        <w:t xml:space="preserve">the hybrid model for oil production where the high order GP regression models perform </w:t>
      </w:r>
      <w:r w:rsidR="00F91F31">
        <w:rPr>
          <w:sz w:val="20"/>
          <w:lang w:val="en-GB"/>
        </w:rPr>
        <w:t xml:space="preserve">the </w:t>
      </w:r>
      <w:r w:rsidRPr="008B5800">
        <w:rPr>
          <w:sz w:val="20"/>
          <w:lang w:val="en-GB"/>
        </w:rPr>
        <w:t xml:space="preserve">best. The GP regression models tend to follow more strongly the parametric models resulting in a smoother and more constant </w:t>
      </w:r>
      <w:r w:rsidR="004F1751">
        <w:rPr>
          <w:sz w:val="20"/>
          <w:lang w:val="en-GB"/>
        </w:rPr>
        <w:t>forecast</w:t>
      </w:r>
      <w:r w:rsidR="004F1751" w:rsidRPr="008B5800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>than</w:t>
      </w:r>
      <w:r w:rsidR="004F1751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the linear regression models. </w:t>
      </w:r>
      <w:r w:rsidR="005212A1">
        <w:rPr>
          <w:sz w:val="20"/>
          <w:lang w:val="en-GB"/>
        </w:rPr>
        <w:t>This</w:t>
      </w:r>
      <w:r w:rsidR="005212A1" w:rsidRPr="008B5800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indicates that </w:t>
      </w:r>
      <w:r w:rsidR="00806562" w:rsidRPr="008B5800">
        <w:rPr>
          <w:sz w:val="20"/>
          <w:lang w:val="en-GB"/>
        </w:rPr>
        <w:t>they</w:t>
      </w:r>
      <w:r w:rsidRPr="008B5800">
        <w:rPr>
          <w:sz w:val="20"/>
          <w:lang w:val="en-GB"/>
        </w:rPr>
        <w:t xml:space="preserve"> rely less on the inputs from the previous time-step (auto-correlation part) to predict the next</w:t>
      </w:r>
      <w:r w:rsidR="00A80352">
        <w:rPr>
          <w:sz w:val="20"/>
          <w:lang w:val="en-GB"/>
        </w:rPr>
        <w:t xml:space="preserve"> step</w:t>
      </w:r>
      <w:r w:rsidRPr="008B5800">
        <w:rPr>
          <w:sz w:val="20"/>
          <w:lang w:val="en-GB"/>
        </w:rPr>
        <w:t xml:space="preserve">. The </w:t>
      </w:r>
      <w:r w:rsidR="00A35160" w:rsidRPr="008B5800">
        <w:rPr>
          <w:sz w:val="20"/>
          <w:lang w:val="en-GB"/>
        </w:rPr>
        <w:t>normalized</w:t>
      </w:r>
      <w:r w:rsidRPr="008B5800">
        <w:rPr>
          <w:sz w:val="20"/>
          <w:lang w:val="en-GB"/>
        </w:rPr>
        <w:t xml:space="preserve"> root-mean square error of all outputs is in the range of </w:t>
      </w:r>
      <w:r w:rsidR="00806562">
        <w:rPr>
          <w:sz w:val="20"/>
          <w:lang w:val="en-GB"/>
        </w:rPr>
        <w:t xml:space="preserve">8-15 </w:t>
      </w:r>
      <w:r w:rsidRPr="008B5800">
        <w:rPr>
          <w:sz w:val="20"/>
          <w:lang w:val="en-GB"/>
        </w:rPr>
        <w:t>%, where the oil production is predicted the wors</w:t>
      </w:r>
      <w:r w:rsidR="009D7794">
        <w:rPr>
          <w:sz w:val="20"/>
          <w:lang w:val="en-GB"/>
        </w:rPr>
        <w:t>t</w:t>
      </w:r>
      <w:r w:rsidRPr="008B5800">
        <w:rPr>
          <w:sz w:val="20"/>
          <w:lang w:val="en-GB"/>
        </w:rPr>
        <w:t>.</w:t>
      </w:r>
    </w:p>
    <w:p w14:paraId="2BED6CE4" w14:textId="347835DE" w:rsidR="001E145D" w:rsidRDefault="008563A8" w:rsidP="00C436D3">
      <w:pPr>
        <w:pStyle w:val="Els-caption"/>
        <w:jc w:val="both"/>
        <w:rPr>
          <w:sz w:val="20"/>
          <w:lang w:val="en-GB"/>
        </w:rPr>
      </w:pPr>
      <w:r>
        <w:rPr>
          <w:sz w:val="20"/>
          <w:lang w:val="en-GB"/>
        </w:rPr>
        <w:lastRenderedPageBreak/>
        <w:t>I</w:t>
      </w:r>
      <w:r w:rsidRPr="008B5800">
        <w:rPr>
          <w:sz w:val="20"/>
          <w:lang w:val="en-GB"/>
        </w:rPr>
        <w:t xml:space="preserve">n </w:t>
      </w:r>
      <w:r>
        <w:rPr>
          <w:sz w:val="20"/>
          <w:lang w:val="en-GB"/>
        </w:rPr>
        <w:fldChar w:fldCharType="begin"/>
      </w:r>
      <w:r>
        <w:rPr>
          <w:sz w:val="20"/>
          <w:lang w:val="en-GB"/>
        </w:rPr>
        <w:instrText xml:space="preserve"> REF _Ref152076211 \h  \* MERGEFORMAT </w:instrText>
      </w:r>
      <w:r>
        <w:rPr>
          <w:sz w:val="20"/>
          <w:lang w:val="en-GB"/>
        </w:rPr>
      </w:r>
      <w:r>
        <w:rPr>
          <w:sz w:val="20"/>
          <w:lang w:val="en-GB"/>
        </w:rPr>
        <w:fldChar w:fldCharType="separate"/>
      </w:r>
      <w:r w:rsidRPr="00D77ACE">
        <w:rPr>
          <w:sz w:val="20"/>
        </w:rPr>
        <w:t>Figure</w:t>
      </w:r>
      <w:r>
        <w:t xml:space="preserve"> </w:t>
      </w:r>
      <w:r>
        <w:rPr>
          <w:noProof/>
        </w:rPr>
        <w:t>2</w:t>
      </w:r>
      <w:r>
        <w:rPr>
          <w:sz w:val="20"/>
          <w:lang w:val="en-GB"/>
        </w:rPr>
        <w:fldChar w:fldCharType="end"/>
      </w:r>
      <w:r>
        <w:rPr>
          <w:sz w:val="20"/>
          <w:lang w:val="en-GB"/>
        </w:rPr>
        <w:t xml:space="preserve">, </w:t>
      </w:r>
      <w:r w:rsidR="00893996" w:rsidRPr="008B5800">
        <w:rPr>
          <w:sz w:val="20"/>
          <w:lang w:val="en-GB"/>
        </w:rPr>
        <w:t xml:space="preserve">a </w:t>
      </w:r>
      <w:r w:rsidR="004F1751">
        <w:rPr>
          <w:sz w:val="20"/>
          <w:lang w:val="en-GB"/>
        </w:rPr>
        <w:t>forecast</w:t>
      </w:r>
      <w:r w:rsidR="004F1751" w:rsidRPr="008B5800">
        <w:rPr>
          <w:sz w:val="20"/>
          <w:lang w:val="en-GB"/>
        </w:rPr>
        <w:t xml:space="preserve"> </w:t>
      </w:r>
      <w:r w:rsidR="00893996" w:rsidRPr="008B5800">
        <w:rPr>
          <w:sz w:val="20"/>
          <w:lang w:val="en-GB"/>
        </w:rPr>
        <w:t>over about 60 months of the fuel gas consumption</w:t>
      </w:r>
      <w:r w:rsidR="00A80352">
        <w:rPr>
          <w:sz w:val="20"/>
          <w:lang w:val="en-GB"/>
        </w:rPr>
        <w:t xml:space="preserve"> (energy consumption of the platform)</w:t>
      </w:r>
      <w:r w:rsidR="00893996" w:rsidRPr="008B5800">
        <w:rPr>
          <w:sz w:val="20"/>
          <w:lang w:val="en-GB"/>
        </w:rPr>
        <w:t xml:space="preserve"> and oil production for the Brage field is shown</w:t>
      </w:r>
      <w:r w:rsidR="00A80352">
        <w:rPr>
          <w:sz w:val="20"/>
          <w:lang w:val="en-GB"/>
        </w:rPr>
        <w:t>.</w:t>
      </w:r>
      <w:r w:rsidR="00E56C8A">
        <w:rPr>
          <w:sz w:val="20"/>
          <w:lang w:val="en-GB"/>
        </w:rPr>
        <w:t xml:space="preserve"> The fuel gas consumption</w:t>
      </w:r>
      <w:r w:rsidR="000E6E52">
        <w:rPr>
          <w:sz w:val="20"/>
          <w:lang w:val="en-GB"/>
        </w:rPr>
        <w:t xml:space="preserve"> itself</w:t>
      </w:r>
      <w:r w:rsidR="00E56C8A">
        <w:rPr>
          <w:sz w:val="20"/>
          <w:lang w:val="en-GB"/>
        </w:rPr>
        <w:t xml:space="preserve"> is predicted by a data-driven model</w:t>
      </w:r>
      <w:r w:rsidR="00E75853">
        <w:rPr>
          <w:sz w:val="20"/>
          <w:lang w:val="en-GB"/>
        </w:rPr>
        <w:t xml:space="preserve"> since no parametric model was developed. However, </w:t>
      </w:r>
      <w:r w:rsidR="00F0674A">
        <w:rPr>
          <w:sz w:val="20"/>
          <w:lang w:val="en-GB"/>
        </w:rPr>
        <w:t>some of the inputs</w:t>
      </w:r>
      <w:r w:rsidR="000E6E52">
        <w:rPr>
          <w:sz w:val="20"/>
          <w:lang w:val="en-GB"/>
        </w:rPr>
        <w:t xml:space="preserve"> to the fuel gas consumption model</w:t>
      </w:r>
      <w:r w:rsidR="003A4C38">
        <w:rPr>
          <w:sz w:val="20"/>
          <w:lang w:val="en-GB"/>
        </w:rPr>
        <w:t>,</w:t>
      </w:r>
      <w:r w:rsidR="00F0674A">
        <w:rPr>
          <w:sz w:val="20"/>
          <w:lang w:val="en-GB"/>
        </w:rPr>
        <w:t xml:space="preserve"> e.g.</w:t>
      </w:r>
      <w:r w:rsidR="003A4C38">
        <w:rPr>
          <w:sz w:val="20"/>
          <w:lang w:val="en-GB"/>
        </w:rPr>
        <w:t>,</w:t>
      </w:r>
      <w:r w:rsidR="00F0674A">
        <w:rPr>
          <w:sz w:val="20"/>
          <w:lang w:val="en-GB"/>
        </w:rPr>
        <w:t xml:space="preserve"> the oil production</w:t>
      </w:r>
      <w:r w:rsidR="003A4C38">
        <w:rPr>
          <w:sz w:val="20"/>
          <w:lang w:val="en-GB"/>
        </w:rPr>
        <w:t>,</w:t>
      </w:r>
      <w:r w:rsidR="00F0674A">
        <w:rPr>
          <w:sz w:val="20"/>
          <w:lang w:val="en-GB"/>
        </w:rPr>
        <w:t xml:space="preserve"> are forecasted </w:t>
      </w:r>
      <w:r w:rsidR="00D46C86">
        <w:rPr>
          <w:sz w:val="20"/>
          <w:lang w:val="en-GB"/>
        </w:rPr>
        <w:t xml:space="preserve">by a </w:t>
      </w:r>
      <w:r w:rsidR="000E6E52">
        <w:rPr>
          <w:sz w:val="20"/>
          <w:lang w:val="en-GB"/>
        </w:rPr>
        <w:t>parametric</w:t>
      </w:r>
      <w:r w:rsidR="00D46C86">
        <w:rPr>
          <w:sz w:val="20"/>
          <w:lang w:val="en-GB"/>
        </w:rPr>
        <w:t xml:space="preserve"> model</w:t>
      </w:r>
      <w:r w:rsidR="000E6E52">
        <w:rPr>
          <w:sz w:val="20"/>
          <w:lang w:val="en-GB"/>
        </w:rPr>
        <w:t>.</w:t>
      </w:r>
      <w:r w:rsidR="00893996" w:rsidRPr="008B5800">
        <w:rPr>
          <w:sz w:val="20"/>
          <w:lang w:val="en-GB"/>
        </w:rPr>
        <w:t xml:space="preserve"> </w:t>
      </w:r>
      <w:r w:rsidR="004E09FD" w:rsidRPr="008B5800">
        <w:rPr>
          <w:sz w:val="20"/>
          <w:lang w:val="en-GB"/>
        </w:rPr>
        <w:t>The variation in the fuel gas consumption is small, which is captured by the model. In fact, the strongest variations are present in the end of the data set</w:t>
      </w:r>
      <w:r w:rsidR="00BE5236">
        <w:rPr>
          <w:sz w:val="20"/>
          <w:lang w:val="en-GB"/>
        </w:rPr>
        <w:t xml:space="preserve"> (month </w:t>
      </w:r>
      <w:r w:rsidR="001E145D">
        <w:rPr>
          <w:sz w:val="20"/>
          <w:lang w:val="en-GB"/>
        </w:rPr>
        <w:t>35-60)</w:t>
      </w:r>
      <w:r w:rsidR="004E09FD" w:rsidRPr="008B5800">
        <w:rPr>
          <w:sz w:val="20"/>
          <w:lang w:val="en-GB"/>
        </w:rPr>
        <w:t>, which is likely connected to the change from a</w:t>
      </w:r>
      <w:r w:rsidR="007318F5" w:rsidRPr="008B5800">
        <w:rPr>
          <w:sz w:val="20"/>
          <w:lang w:val="en-GB"/>
        </w:rPr>
        <w:t xml:space="preserve"> primary </w:t>
      </w:r>
      <w:r w:rsidR="004E09FD" w:rsidRPr="008B5800">
        <w:rPr>
          <w:sz w:val="20"/>
          <w:lang w:val="en-GB"/>
        </w:rPr>
        <w:t xml:space="preserve">oil to a </w:t>
      </w:r>
      <w:r w:rsidR="007318F5" w:rsidRPr="008B5800">
        <w:rPr>
          <w:sz w:val="20"/>
          <w:lang w:val="en-GB"/>
        </w:rPr>
        <w:t xml:space="preserve">primary </w:t>
      </w:r>
      <w:r w:rsidR="004E09FD" w:rsidRPr="008B5800">
        <w:rPr>
          <w:sz w:val="20"/>
          <w:lang w:val="en-GB"/>
        </w:rPr>
        <w:t>gas</w:t>
      </w:r>
      <w:r w:rsidR="00620C83">
        <w:rPr>
          <w:sz w:val="20"/>
          <w:lang w:val="en-GB"/>
        </w:rPr>
        <w:t>-</w:t>
      </w:r>
      <w:r w:rsidR="004E09FD" w:rsidRPr="008B5800">
        <w:rPr>
          <w:sz w:val="20"/>
          <w:lang w:val="en-GB"/>
        </w:rPr>
        <w:t>producing field</w:t>
      </w:r>
      <w:r w:rsidR="00774224">
        <w:rPr>
          <w:sz w:val="20"/>
          <w:lang w:val="en-GB"/>
        </w:rPr>
        <w:t xml:space="preserve">, </w:t>
      </w:r>
      <w:r w:rsidR="00C42BC3">
        <w:rPr>
          <w:sz w:val="20"/>
          <w:lang w:val="en-GB"/>
        </w:rPr>
        <w:t xml:space="preserve">information that is not included in </w:t>
      </w:r>
      <w:r w:rsidR="00F67B27">
        <w:rPr>
          <w:sz w:val="20"/>
          <w:lang w:val="en-GB"/>
        </w:rPr>
        <w:t>the meta-data</w:t>
      </w:r>
      <w:r w:rsidR="004E09FD" w:rsidRPr="008B5800">
        <w:rPr>
          <w:sz w:val="20"/>
          <w:lang w:val="en-GB"/>
        </w:rPr>
        <w:t xml:space="preserve">. All </w:t>
      </w:r>
      <w:r w:rsidR="00024561">
        <w:rPr>
          <w:sz w:val="20"/>
          <w:lang w:val="en-GB"/>
        </w:rPr>
        <w:t xml:space="preserve">prediction </w:t>
      </w:r>
      <w:r w:rsidR="004E09FD" w:rsidRPr="008B5800">
        <w:rPr>
          <w:sz w:val="20"/>
          <w:lang w:val="en-GB"/>
        </w:rPr>
        <w:t>models</w:t>
      </w:r>
      <w:r w:rsidR="009F0F70">
        <w:rPr>
          <w:sz w:val="20"/>
          <w:lang w:val="en-GB"/>
        </w:rPr>
        <w:t xml:space="preserve"> varying the different parameters and prediction methods</w:t>
      </w:r>
      <w:r w:rsidR="004E09FD" w:rsidRPr="008B5800">
        <w:rPr>
          <w:sz w:val="20"/>
          <w:lang w:val="en-GB"/>
        </w:rPr>
        <w:t xml:space="preserve"> show a</w:t>
      </w:r>
      <w:r w:rsidR="00620C83">
        <w:rPr>
          <w:sz w:val="20"/>
          <w:lang w:val="en-GB"/>
        </w:rPr>
        <w:t xml:space="preserve"> close to </w:t>
      </w:r>
      <w:r w:rsidR="004E09FD" w:rsidRPr="008B5800">
        <w:rPr>
          <w:sz w:val="20"/>
          <w:lang w:val="en-GB"/>
        </w:rPr>
        <w:t xml:space="preserve">constant fuel gas consumption. </w:t>
      </w:r>
    </w:p>
    <w:p w14:paraId="0694995E" w14:textId="27513C05" w:rsidR="00893996" w:rsidRDefault="004E09FD" w:rsidP="00C436D3">
      <w:pPr>
        <w:pStyle w:val="Els-caption"/>
        <w:jc w:val="both"/>
        <w:rPr>
          <w:sz w:val="20"/>
          <w:lang w:val="en-GB"/>
        </w:rPr>
      </w:pPr>
      <w:r w:rsidRPr="008B5800">
        <w:rPr>
          <w:sz w:val="20"/>
          <w:lang w:val="en-GB"/>
        </w:rPr>
        <w:t>The oil production decreases for the parametric model</w:t>
      </w:r>
      <w:r w:rsidR="00F33AC4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>and hybrid model</w:t>
      </w:r>
      <w:r w:rsidR="00F33AC4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while </w:t>
      </w:r>
      <w:r w:rsidR="00160E50">
        <w:rPr>
          <w:sz w:val="20"/>
          <w:lang w:val="en-GB"/>
        </w:rPr>
        <w:t xml:space="preserve">it </w:t>
      </w:r>
      <w:r w:rsidRPr="008B5800">
        <w:rPr>
          <w:sz w:val="20"/>
          <w:lang w:val="en-GB"/>
        </w:rPr>
        <w:t>increases for the purely data</w:t>
      </w:r>
      <w:r w:rsidR="00160E50">
        <w:rPr>
          <w:sz w:val="20"/>
          <w:lang w:val="en-GB"/>
        </w:rPr>
        <w:t>-</w:t>
      </w:r>
      <w:r w:rsidRPr="008B5800">
        <w:rPr>
          <w:sz w:val="20"/>
          <w:lang w:val="en-GB"/>
        </w:rPr>
        <w:t xml:space="preserve">driven model. This is not the case for all </w:t>
      </w:r>
      <w:r w:rsidR="007318F5" w:rsidRPr="008B5800">
        <w:rPr>
          <w:sz w:val="20"/>
          <w:lang w:val="en-GB"/>
        </w:rPr>
        <w:t>models,</w:t>
      </w:r>
      <w:r w:rsidRPr="008B5800">
        <w:rPr>
          <w:sz w:val="20"/>
          <w:lang w:val="en-GB"/>
        </w:rPr>
        <w:t xml:space="preserve"> but it is observed that the parametric model alone usually outperforms any data-driven model (hybrid or purely data-driven)</w:t>
      </w:r>
      <w:r w:rsidR="007318F5" w:rsidRPr="008B5800">
        <w:rPr>
          <w:sz w:val="20"/>
          <w:lang w:val="en-GB"/>
        </w:rPr>
        <w:t xml:space="preserve"> for the oil production</w:t>
      </w:r>
      <w:r w:rsidRPr="008B5800">
        <w:rPr>
          <w:sz w:val="20"/>
          <w:lang w:val="en-GB"/>
        </w:rPr>
        <w:t>. In a lesser extent this can also be observed for the water production</w:t>
      </w:r>
      <w:r w:rsidR="00287FDB">
        <w:rPr>
          <w:sz w:val="20"/>
          <w:lang w:val="en-GB"/>
        </w:rPr>
        <w:t xml:space="preserve">, which is not shown in </w:t>
      </w:r>
      <w:r w:rsidR="00095AD3">
        <w:rPr>
          <w:sz w:val="20"/>
          <w:lang w:val="en-GB"/>
        </w:rPr>
        <w:fldChar w:fldCharType="begin"/>
      </w:r>
      <w:r w:rsidR="00095AD3">
        <w:rPr>
          <w:sz w:val="20"/>
          <w:lang w:val="en-GB"/>
        </w:rPr>
        <w:instrText xml:space="preserve"> REF _Ref152076211 \h </w:instrText>
      </w:r>
      <w:r w:rsidR="00095AD3">
        <w:rPr>
          <w:sz w:val="20"/>
          <w:lang w:val="en-GB"/>
        </w:rPr>
      </w:r>
      <w:r w:rsidR="00095AD3">
        <w:rPr>
          <w:sz w:val="20"/>
          <w:lang w:val="en-GB"/>
        </w:rPr>
        <w:fldChar w:fldCharType="separate"/>
      </w:r>
      <w:r w:rsidR="00095AD3">
        <w:t xml:space="preserve">Figure </w:t>
      </w:r>
      <w:r w:rsidR="00095AD3">
        <w:rPr>
          <w:noProof/>
        </w:rPr>
        <w:t>2</w:t>
      </w:r>
      <w:r w:rsidR="00095AD3">
        <w:rPr>
          <w:sz w:val="20"/>
          <w:lang w:val="en-GB"/>
        </w:rPr>
        <w:fldChar w:fldCharType="end"/>
      </w:r>
      <w:r w:rsidR="00096F20">
        <w:rPr>
          <w:sz w:val="20"/>
          <w:lang w:val="en-GB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4"/>
        <w:gridCol w:w="3494"/>
      </w:tblGrid>
      <w:tr w:rsidR="00024561" w14:paraId="725F5530" w14:textId="77777777" w:rsidTr="00DB5373">
        <w:trPr>
          <w:trHeight w:val="2717"/>
        </w:trPr>
        <w:tc>
          <w:tcPr>
            <w:tcW w:w="3494" w:type="dxa"/>
          </w:tcPr>
          <w:p w14:paraId="7BE19F32" w14:textId="72784881" w:rsidR="0037799E" w:rsidRDefault="007E5423" w:rsidP="00C436D3">
            <w:pPr>
              <w:pStyle w:val="Els-caption"/>
              <w:jc w:val="both"/>
              <w:rPr>
                <w:sz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27ABAC31" wp14:editId="69C08523">
                  <wp:extent cx="1965444" cy="1587730"/>
                  <wp:effectExtent l="0" t="0" r="0" b="0"/>
                  <wp:docPr id="19914321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837" cy="160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14:paraId="19A537EE" w14:textId="2A650C35" w:rsidR="0037799E" w:rsidRDefault="00024561" w:rsidP="001C1123">
            <w:pPr>
              <w:pStyle w:val="Els-caption"/>
              <w:keepNext/>
              <w:jc w:val="both"/>
              <w:rPr>
                <w:sz w:val="2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FEDBA26" wp14:editId="2293E2D4">
                  <wp:extent cx="1985414" cy="1603862"/>
                  <wp:effectExtent l="0" t="0" r="0" b="0"/>
                  <wp:docPr id="16109251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255" cy="161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41552" w14:textId="3B1F4423" w:rsidR="0037799E" w:rsidRPr="0024438A" w:rsidRDefault="001C1123" w:rsidP="001C1123">
      <w:pPr>
        <w:pStyle w:val="Didascalia"/>
        <w:rPr>
          <w:sz w:val="20"/>
          <w:lang w:val="en-GB"/>
        </w:rPr>
      </w:pPr>
      <w:bookmarkStart w:id="2" w:name="_Ref152076211"/>
      <w:r>
        <w:t>Figure</w:t>
      </w:r>
      <w:r w:rsidR="005706A9">
        <w:t xml:space="preserve"> </w:t>
      </w:r>
      <w:r w:rsidR="00D071B1">
        <w:fldChar w:fldCharType="begin"/>
      </w:r>
      <w:r w:rsidR="00D071B1">
        <w:instrText xml:space="preserve"> SEQ Figure \* ARABIC \s 1 </w:instrText>
      </w:r>
      <w:r w:rsidR="00D071B1">
        <w:fldChar w:fldCharType="separate"/>
      </w:r>
      <w:r w:rsidR="00D071B1">
        <w:rPr>
          <w:noProof/>
        </w:rPr>
        <w:t>2</w:t>
      </w:r>
      <w:r w:rsidR="00D071B1">
        <w:fldChar w:fldCharType="end"/>
      </w:r>
      <w:bookmarkEnd w:id="2"/>
      <w:r w:rsidR="005706A9">
        <w:t xml:space="preserve"> </w:t>
      </w:r>
      <w:r w:rsidR="001376B6" w:rsidRPr="001376B6">
        <w:t xml:space="preserve">Example of </w:t>
      </w:r>
      <w:r w:rsidR="004F1751">
        <w:t>forecast</w:t>
      </w:r>
      <w:r w:rsidR="004F1751" w:rsidRPr="001376B6">
        <w:t xml:space="preserve"> </w:t>
      </w:r>
      <w:r w:rsidR="001376B6" w:rsidRPr="001376B6">
        <w:t>using GP regression</w:t>
      </w:r>
      <w:r w:rsidR="001376B6">
        <w:t xml:space="preserve"> of fuel gas consumption (left) and oil production (right).</w:t>
      </w:r>
    </w:p>
    <w:p w14:paraId="35B7E0C0" w14:textId="7B84BA41" w:rsidR="000E4D20" w:rsidRPr="008B5800" w:rsidRDefault="000E4D20" w:rsidP="00C436D3">
      <w:pPr>
        <w:pStyle w:val="Els-caption"/>
        <w:jc w:val="both"/>
        <w:rPr>
          <w:sz w:val="20"/>
          <w:lang w:val="en-GB"/>
        </w:rPr>
      </w:pPr>
      <w:r w:rsidRPr="008B5800">
        <w:rPr>
          <w:sz w:val="20"/>
          <w:lang w:val="en-GB"/>
        </w:rPr>
        <w:t xml:space="preserve">The fuel gas consumption is on </w:t>
      </w:r>
      <w:r w:rsidR="00FF40C5">
        <w:rPr>
          <w:sz w:val="20"/>
          <w:lang w:val="en-GB"/>
        </w:rPr>
        <w:t xml:space="preserve">a </w:t>
      </w:r>
      <w:r w:rsidRPr="008B5800">
        <w:rPr>
          <w:sz w:val="20"/>
          <w:lang w:val="en-GB"/>
        </w:rPr>
        <w:t xml:space="preserve">longer </w:t>
      </w:r>
      <w:r w:rsidR="004F1751">
        <w:rPr>
          <w:sz w:val="20"/>
          <w:lang w:val="en-GB"/>
        </w:rPr>
        <w:t>forecast</w:t>
      </w:r>
      <w:r w:rsidR="004F1751" w:rsidRPr="008B5800">
        <w:rPr>
          <w:sz w:val="20"/>
          <w:lang w:val="en-GB"/>
        </w:rPr>
        <w:t xml:space="preserve"> </w:t>
      </w:r>
      <w:r w:rsidRPr="008B5800">
        <w:rPr>
          <w:sz w:val="20"/>
          <w:lang w:val="en-GB"/>
        </w:rPr>
        <w:t xml:space="preserve">horizons better predicted using a </w:t>
      </w:r>
      <w:r w:rsidR="005869EE">
        <w:rPr>
          <w:sz w:val="20"/>
          <w:lang w:val="en-GB"/>
        </w:rPr>
        <w:t>GP</w:t>
      </w:r>
      <w:r w:rsidRPr="008B5800">
        <w:rPr>
          <w:sz w:val="20"/>
          <w:lang w:val="en-GB"/>
        </w:rPr>
        <w:t xml:space="preserve"> regression model </w:t>
      </w:r>
      <w:r w:rsidR="009E6A0D">
        <w:rPr>
          <w:sz w:val="20"/>
          <w:lang w:val="en-GB"/>
        </w:rPr>
        <w:t>with hybrid modelling</w:t>
      </w:r>
      <w:r w:rsidRPr="008B5800">
        <w:rPr>
          <w:sz w:val="20"/>
          <w:lang w:val="en-GB"/>
        </w:rPr>
        <w:t xml:space="preserve">. The </w:t>
      </w:r>
      <w:r w:rsidR="005869EE">
        <w:rPr>
          <w:sz w:val="20"/>
          <w:lang w:val="en-GB"/>
        </w:rPr>
        <w:t>NRMS</w:t>
      </w:r>
      <w:r w:rsidRPr="008B5800">
        <w:rPr>
          <w:sz w:val="20"/>
          <w:lang w:val="en-GB"/>
        </w:rPr>
        <w:t xml:space="preserve"> of the fuel consumption is about </w:t>
      </w:r>
      <w:r w:rsidR="00CA5F2F">
        <w:rPr>
          <w:sz w:val="20"/>
          <w:lang w:val="en-GB"/>
        </w:rPr>
        <w:t>10%</w:t>
      </w:r>
      <w:r w:rsidR="004045AD">
        <w:rPr>
          <w:sz w:val="20"/>
          <w:lang w:val="en-GB"/>
        </w:rPr>
        <w:t xml:space="preserve">, which is the lowest error </w:t>
      </w:r>
      <w:r w:rsidR="00F00DBF">
        <w:rPr>
          <w:sz w:val="20"/>
          <w:lang w:val="en-GB"/>
        </w:rPr>
        <w:t xml:space="preserve">of all </w:t>
      </w:r>
      <w:r w:rsidR="00733A9D">
        <w:rPr>
          <w:sz w:val="20"/>
          <w:lang w:val="en-GB"/>
        </w:rPr>
        <w:t>predicted outputs.</w:t>
      </w:r>
      <w:r w:rsidRPr="008B5800">
        <w:rPr>
          <w:sz w:val="20"/>
          <w:lang w:val="en-GB"/>
        </w:rPr>
        <w:t xml:space="preserve"> </w:t>
      </w:r>
      <w:r w:rsidR="00733A9D">
        <w:rPr>
          <w:sz w:val="20"/>
          <w:lang w:val="en-GB"/>
        </w:rPr>
        <w:t xml:space="preserve">It is </w:t>
      </w:r>
      <w:r w:rsidRPr="008B5800">
        <w:rPr>
          <w:sz w:val="20"/>
          <w:lang w:val="en-GB"/>
        </w:rPr>
        <w:t xml:space="preserve">followed by oil and water production with an error of about </w:t>
      </w:r>
      <w:r w:rsidR="00CA5F2F">
        <w:rPr>
          <w:sz w:val="20"/>
          <w:lang w:val="en-GB"/>
        </w:rPr>
        <w:t>15%</w:t>
      </w:r>
      <w:r w:rsidRPr="008B5800">
        <w:rPr>
          <w:sz w:val="20"/>
          <w:lang w:val="en-GB"/>
        </w:rPr>
        <w:t xml:space="preserve"> and finally by gas production and water injection with an error of about </w:t>
      </w:r>
      <w:r w:rsidR="00CA5F2F">
        <w:rPr>
          <w:sz w:val="20"/>
          <w:lang w:val="en-GB"/>
        </w:rPr>
        <w:t>20%.</w:t>
      </w:r>
      <w:r w:rsidRPr="008B5800">
        <w:rPr>
          <w:sz w:val="20"/>
          <w:lang w:val="en-GB"/>
        </w:rPr>
        <w:t xml:space="preserve"> Nevertheless, the trend</w:t>
      </w:r>
      <w:r w:rsidR="00A5165A">
        <w:rPr>
          <w:sz w:val="20"/>
          <w:lang w:val="en-GB"/>
        </w:rPr>
        <w:t>s</w:t>
      </w:r>
      <w:r w:rsidRPr="008B5800">
        <w:rPr>
          <w:sz w:val="20"/>
          <w:lang w:val="en-GB"/>
        </w:rPr>
        <w:t xml:space="preserve"> </w:t>
      </w:r>
      <w:r w:rsidR="00A5165A">
        <w:rPr>
          <w:sz w:val="20"/>
          <w:lang w:val="en-GB"/>
        </w:rPr>
        <w:t>are</w:t>
      </w:r>
      <w:r w:rsidRPr="008B5800">
        <w:rPr>
          <w:sz w:val="20"/>
          <w:lang w:val="en-GB"/>
        </w:rPr>
        <w:t xml:space="preserve"> predicted correctly but the oscillation around the trend line is not predicted</w:t>
      </w:r>
      <w:r w:rsidR="00A5165A">
        <w:rPr>
          <w:sz w:val="20"/>
          <w:lang w:val="en-GB"/>
        </w:rPr>
        <w:t xml:space="preserve">, which is to be expected. </w:t>
      </w:r>
    </w:p>
    <w:p w14:paraId="2C9B23BE" w14:textId="11FEEB80" w:rsidR="00D05652" w:rsidRDefault="005869EE" w:rsidP="00C436D3">
      <w:pPr>
        <w:pStyle w:val="Els-caption"/>
        <w:jc w:val="both"/>
        <w:rPr>
          <w:sz w:val="20"/>
          <w:lang w:val="en-GB"/>
        </w:rPr>
      </w:pPr>
      <w:r>
        <w:rPr>
          <w:sz w:val="20"/>
          <w:lang w:val="en-GB"/>
        </w:rPr>
        <w:t>To</w:t>
      </w:r>
      <w:r w:rsidR="00D05652" w:rsidRPr="008B5800">
        <w:rPr>
          <w:sz w:val="20"/>
          <w:lang w:val="en-GB"/>
        </w:rPr>
        <w:t xml:space="preserve"> </w:t>
      </w:r>
      <w:r w:rsidR="00B4034D" w:rsidRPr="008B5800">
        <w:rPr>
          <w:sz w:val="20"/>
          <w:lang w:val="en-GB"/>
        </w:rPr>
        <w:t>analyse</w:t>
      </w:r>
      <w:r w:rsidR="00D05652" w:rsidRPr="008B5800">
        <w:rPr>
          <w:sz w:val="20"/>
          <w:lang w:val="en-GB"/>
        </w:rPr>
        <w:t xml:space="preserve"> the data-driven models</w:t>
      </w:r>
      <w:r>
        <w:rPr>
          <w:sz w:val="20"/>
          <w:lang w:val="en-GB"/>
        </w:rPr>
        <w:t>,</w:t>
      </w:r>
      <w:r w:rsidR="00D05652" w:rsidRPr="008B5800">
        <w:rPr>
          <w:sz w:val="20"/>
          <w:lang w:val="en-GB"/>
        </w:rPr>
        <w:t xml:space="preserve"> step responses of the identified models were tested. It reveals that some internal correlations are not as expected. A</w:t>
      </w:r>
      <w:r w:rsidR="008E3F64">
        <w:rPr>
          <w:sz w:val="20"/>
          <w:lang w:val="en-GB"/>
        </w:rPr>
        <w:t>ccording to the models, a</w:t>
      </w:r>
      <w:r w:rsidR="00D05652" w:rsidRPr="008B5800">
        <w:rPr>
          <w:sz w:val="20"/>
          <w:lang w:val="en-GB"/>
        </w:rPr>
        <w:t xml:space="preserve">n increase in water injection decreases oil and gas production and decreases fuel gas consumption. On the other hand, a reduction in oil production </w:t>
      </w:r>
      <w:r w:rsidR="00C715B0" w:rsidRPr="008B5800">
        <w:rPr>
          <w:sz w:val="20"/>
          <w:lang w:val="en-GB"/>
        </w:rPr>
        <w:t>also reduces</w:t>
      </w:r>
      <w:r w:rsidR="00D05652" w:rsidRPr="008B5800">
        <w:rPr>
          <w:sz w:val="20"/>
          <w:lang w:val="en-GB"/>
        </w:rPr>
        <w:t xml:space="preserve"> gas production, fuel gas consumption and water injection. These two tests contradict each other. A reason is that each output is predicted with a separate model without considering output correlation. Moreover, the public data set is small and metadata is missing </w:t>
      </w:r>
      <w:r w:rsidR="00AE04C0">
        <w:rPr>
          <w:sz w:val="20"/>
          <w:lang w:val="en-GB"/>
        </w:rPr>
        <w:t>making</w:t>
      </w:r>
      <w:r w:rsidR="00D05652" w:rsidRPr="008B5800">
        <w:rPr>
          <w:sz w:val="20"/>
          <w:lang w:val="en-GB"/>
        </w:rPr>
        <w:t xml:space="preserve"> the creation of data-driven models that capture the physics of the system challenging.</w:t>
      </w:r>
      <w:r w:rsidR="002B10EF" w:rsidRPr="008B5800">
        <w:rPr>
          <w:sz w:val="20"/>
          <w:lang w:val="en-GB"/>
        </w:rPr>
        <w:t xml:space="preserve"> </w:t>
      </w:r>
    </w:p>
    <w:p w14:paraId="7FEB540F" w14:textId="6A5D669D" w:rsidR="00CE3A6D" w:rsidRPr="008B5800" w:rsidRDefault="00E46049" w:rsidP="00C436D3">
      <w:pPr>
        <w:pStyle w:val="Els-caption"/>
        <w:jc w:val="both"/>
        <w:rPr>
          <w:sz w:val="20"/>
          <w:lang w:val="en-GB"/>
        </w:rPr>
      </w:pPr>
      <w:r>
        <w:rPr>
          <w:sz w:val="20"/>
          <w:lang w:val="en-GB"/>
        </w:rPr>
        <w:lastRenderedPageBreak/>
        <w:t>A</w:t>
      </w:r>
      <w:r w:rsidRPr="00E46049">
        <w:rPr>
          <w:sz w:val="20"/>
          <w:lang w:val="en-GB"/>
        </w:rPr>
        <w:t xml:space="preserve"> 2030 outlook on the energy ratio </w:t>
      </w:r>
      <w:r w:rsidR="001F0280">
        <w:rPr>
          <w:sz w:val="20"/>
          <w:lang w:val="en-GB"/>
        </w:rPr>
        <w:t xml:space="preserve">of the Brage </w:t>
      </w:r>
      <w:r w:rsidRPr="00E46049">
        <w:rPr>
          <w:sz w:val="20"/>
          <w:lang w:val="en-GB"/>
        </w:rPr>
        <w:t>field is given</w:t>
      </w:r>
      <w:r w:rsidR="000278AD">
        <w:rPr>
          <w:sz w:val="20"/>
          <w:lang w:val="en-GB"/>
        </w:rPr>
        <w:t xml:space="preserve"> </w:t>
      </w:r>
      <w:r w:rsidR="000278AD" w:rsidRPr="000278AD">
        <w:rPr>
          <w:sz w:val="20"/>
          <w:lang w:val="en-GB"/>
        </w:rPr>
        <w:t xml:space="preserve">in </w:t>
      </w:r>
      <w:r w:rsidR="000278AD" w:rsidRPr="000278AD">
        <w:rPr>
          <w:sz w:val="20"/>
          <w:lang w:val="en-GB"/>
        </w:rPr>
        <w:fldChar w:fldCharType="begin"/>
      </w:r>
      <w:r w:rsidR="000278AD" w:rsidRPr="000278AD">
        <w:rPr>
          <w:sz w:val="20"/>
          <w:lang w:val="en-GB"/>
        </w:rPr>
        <w:instrText xml:space="preserve"> REF _Ref152080468 \h </w:instrText>
      </w:r>
      <w:r w:rsidR="000278AD">
        <w:rPr>
          <w:sz w:val="20"/>
          <w:lang w:val="en-GB"/>
        </w:rPr>
        <w:instrText xml:space="preserve"> \* MERGEFORMAT </w:instrText>
      </w:r>
      <w:r w:rsidR="000278AD" w:rsidRPr="000278AD">
        <w:rPr>
          <w:sz w:val="20"/>
          <w:lang w:val="en-GB"/>
        </w:rPr>
      </w:r>
      <w:r w:rsidR="000278AD" w:rsidRPr="000278AD">
        <w:rPr>
          <w:sz w:val="20"/>
          <w:lang w:val="en-GB"/>
        </w:rPr>
        <w:fldChar w:fldCharType="separate"/>
      </w:r>
      <w:r w:rsidR="000278AD" w:rsidRPr="000C4809">
        <w:rPr>
          <w:sz w:val="20"/>
        </w:rPr>
        <w:t xml:space="preserve">Figure </w:t>
      </w:r>
      <w:r w:rsidR="000278AD" w:rsidRPr="000C4809">
        <w:rPr>
          <w:noProof/>
          <w:sz w:val="20"/>
        </w:rPr>
        <w:t>3</w:t>
      </w:r>
      <w:r w:rsidR="000278AD" w:rsidRPr="000278AD">
        <w:rPr>
          <w:sz w:val="20"/>
          <w:lang w:val="en-GB"/>
        </w:rPr>
        <w:fldChar w:fldCharType="end"/>
      </w:r>
      <w:r w:rsidRPr="000278AD">
        <w:rPr>
          <w:sz w:val="20"/>
          <w:lang w:val="en-GB"/>
        </w:rPr>
        <w:t>.</w:t>
      </w:r>
      <w:r w:rsidRPr="00E46049">
        <w:rPr>
          <w:sz w:val="20"/>
          <w:lang w:val="en-GB"/>
        </w:rPr>
        <w:t xml:space="preserve"> </w:t>
      </w:r>
      <w:r w:rsidR="000E026B">
        <w:rPr>
          <w:sz w:val="20"/>
          <w:lang w:val="en-GB"/>
        </w:rPr>
        <w:t>S</w:t>
      </w:r>
      <w:r w:rsidRPr="00E46049">
        <w:rPr>
          <w:sz w:val="20"/>
          <w:lang w:val="en-GB"/>
        </w:rPr>
        <w:t>ince it is a forecast</w:t>
      </w:r>
      <w:r w:rsidR="000E026B">
        <w:rPr>
          <w:sz w:val="20"/>
          <w:lang w:val="en-GB"/>
        </w:rPr>
        <w:t>, this cannot be validated</w:t>
      </w:r>
      <w:r w:rsidRPr="00E46049">
        <w:rPr>
          <w:sz w:val="20"/>
          <w:lang w:val="en-GB"/>
        </w:rPr>
        <w:t xml:space="preserve">. </w:t>
      </w:r>
      <w:r w:rsidR="00CC16EB">
        <w:rPr>
          <w:sz w:val="20"/>
          <w:lang w:val="en-GB"/>
        </w:rPr>
        <w:t>T</w:t>
      </w:r>
      <w:r w:rsidRPr="00E46049">
        <w:rPr>
          <w:sz w:val="20"/>
          <w:lang w:val="en-GB"/>
        </w:rPr>
        <w:t xml:space="preserve">he best models in the test set </w:t>
      </w:r>
      <w:r w:rsidR="00355DEB">
        <w:rPr>
          <w:sz w:val="20"/>
          <w:lang w:val="en-GB"/>
        </w:rPr>
        <w:t xml:space="preserve">using </w:t>
      </w:r>
      <w:r w:rsidRPr="00E46049">
        <w:rPr>
          <w:sz w:val="20"/>
          <w:lang w:val="en-GB"/>
        </w:rPr>
        <w:t xml:space="preserve">varying input and output lag </w:t>
      </w:r>
      <w:r w:rsidR="00CC16EB">
        <w:rPr>
          <w:sz w:val="20"/>
          <w:lang w:val="en-GB"/>
        </w:rPr>
        <w:t xml:space="preserve">for the </w:t>
      </w:r>
      <w:r w:rsidR="00A220E7">
        <w:rPr>
          <w:sz w:val="20"/>
          <w:lang w:val="en-GB"/>
        </w:rPr>
        <w:t xml:space="preserve">different </w:t>
      </w:r>
      <w:r w:rsidRPr="00E46049">
        <w:rPr>
          <w:sz w:val="20"/>
          <w:lang w:val="en-GB"/>
        </w:rPr>
        <w:t>regression method</w:t>
      </w:r>
      <w:r w:rsidR="000A128A">
        <w:rPr>
          <w:sz w:val="20"/>
          <w:lang w:val="en-GB"/>
        </w:rPr>
        <w:t>s</w:t>
      </w:r>
      <w:r w:rsidR="00CC16EB">
        <w:rPr>
          <w:sz w:val="20"/>
          <w:lang w:val="en-GB"/>
        </w:rPr>
        <w:t xml:space="preserve"> are shown</w:t>
      </w:r>
      <w:r w:rsidR="00A220E7">
        <w:rPr>
          <w:sz w:val="20"/>
          <w:lang w:val="en-GB"/>
        </w:rPr>
        <w:t>.</w:t>
      </w:r>
      <w:r w:rsidRPr="00E46049">
        <w:rPr>
          <w:sz w:val="20"/>
          <w:lang w:val="en-GB"/>
        </w:rPr>
        <w:t xml:space="preserve"> </w:t>
      </w:r>
      <w:r w:rsidR="00634842">
        <w:rPr>
          <w:sz w:val="20"/>
          <w:lang w:val="en-GB"/>
        </w:rPr>
        <w:t xml:space="preserve">The dashed lines show the best GP regression forecast models and the dash dotted lines the best linear regression forecasts. </w:t>
      </w:r>
      <w:r w:rsidRPr="00E46049">
        <w:rPr>
          <w:sz w:val="20"/>
          <w:lang w:val="en-GB"/>
        </w:rPr>
        <w:t xml:space="preserve">Moreover, one forecast </w:t>
      </w:r>
      <w:r w:rsidR="00634842">
        <w:rPr>
          <w:sz w:val="20"/>
          <w:lang w:val="en-GB"/>
        </w:rPr>
        <w:t xml:space="preserve">(solid green line) </w:t>
      </w:r>
      <w:r w:rsidRPr="00E46049">
        <w:rPr>
          <w:sz w:val="20"/>
          <w:lang w:val="en-GB"/>
        </w:rPr>
        <w:t xml:space="preserve">for the ER </w:t>
      </w:r>
      <w:r w:rsidR="006148C5">
        <w:rPr>
          <w:sz w:val="20"/>
          <w:lang w:val="en-GB"/>
        </w:rPr>
        <w:t>is</w:t>
      </w:r>
      <w:r w:rsidRPr="00E46049">
        <w:rPr>
          <w:sz w:val="20"/>
          <w:lang w:val="en-GB"/>
        </w:rPr>
        <w:t xml:space="preserve"> created using the best combination of </w:t>
      </w:r>
      <w:r w:rsidR="00CF3014">
        <w:rPr>
          <w:sz w:val="20"/>
          <w:lang w:val="en-GB"/>
        </w:rPr>
        <w:t xml:space="preserve">prediction models </w:t>
      </w:r>
      <w:r w:rsidR="00E902C5">
        <w:rPr>
          <w:sz w:val="20"/>
          <w:lang w:val="en-GB"/>
        </w:rPr>
        <w:t>for</w:t>
      </w:r>
      <w:r w:rsidR="00CF3014">
        <w:rPr>
          <w:sz w:val="20"/>
          <w:lang w:val="en-GB"/>
        </w:rPr>
        <w:t xml:space="preserve"> </w:t>
      </w:r>
      <w:r w:rsidRPr="00E46049">
        <w:rPr>
          <w:sz w:val="20"/>
          <w:lang w:val="en-GB"/>
        </w:rPr>
        <w:t>fuel gas, gas</w:t>
      </w:r>
      <w:r w:rsidR="00913069">
        <w:rPr>
          <w:sz w:val="20"/>
          <w:lang w:val="en-GB"/>
        </w:rPr>
        <w:t>,</w:t>
      </w:r>
      <w:r w:rsidRPr="00E46049">
        <w:rPr>
          <w:sz w:val="20"/>
          <w:lang w:val="en-GB"/>
        </w:rPr>
        <w:t xml:space="preserve"> and oil forecast models</w:t>
      </w:r>
      <w:r w:rsidR="00E902C5">
        <w:rPr>
          <w:sz w:val="20"/>
          <w:lang w:val="en-GB"/>
        </w:rPr>
        <w:t xml:space="preserve"> validated on the test set</w:t>
      </w:r>
      <w:r w:rsidRPr="00E46049">
        <w:rPr>
          <w:sz w:val="20"/>
          <w:lang w:val="en-GB"/>
        </w:rPr>
        <w:t xml:space="preserve">. </w:t>
      </w:r>
      <w:r w:rsidR="00735877">
        <w:rPr>
          <w:sz w:val="20"/>
          <w:lang w:val="en-GB"/>
        </w:rPr>
        <w:t>I</w:t>
      </w:r>
      <w:r w:rsidR="00735877" w:rsidRPr="00735877">
        <w:rPr>
          <w:sz w:val="20"/>
          <w:lang w:val="en-GB"/>
        </w:rPr>
        <w:t>t can be noted that the forecasts vary from an efficiency of about 5.5</w:t>
      </w:r>
      <w:r w:rsidR="00743988">
        <w:rPr>
          <w:sz w:val="20"/>
          <w:lang w:val="en-GB"/>
        </w:rPr>
        <w:t xml:space="preserve"> - </w:t>
      </w:r>
      <w:r w:rsidR="00735877" w:rsidRPr="00735877">
        <w:rPr>
          <w:sz w:val="20"/>
          <w:lang w:val="en-GB"/>
        </w:rPr>
        <w:t>10.0 in 2030. The combination of the best performing models over the test horizon predicts an efficiency of about 7.0 in 2030.</w:t>
      </w:r>
      <w:r w:rsidRPr="00E46049">
        <w:rPr>
          <w:sz w:val="20"/>
          <w:lang w:val="en-GB"/>
        </w:rPr>
        <w:t xml:space="preserve"> </w:t>
      </w:r>
    </w:p>
    <w:p w14:paraId="7B825C19" w14:textId="7762C88C" w:rsidR="00D071B1" w:rsidRDefault="007C69E0" w:rsidP="00D071B1">
      <w:pPr>
        <w:pStyle w:val="Els-body-text"/>
        <w:keepNext/>
        <w:jc w:val="center"/>
      </w:pPr>
      <w:r>
        <w:rPr>
          <w:noProof/>
        </w:rPr>
        <w:drawing>
          <wp:inline distT="0" distB="0" distL="0" distR="0" wp14:anchorId="2C5F6954" wp14:editId="5C16978B">
            <wp:extent cx="2264671" cy="1762298"/>
            <wp:effectExtent l="0" t="0" r="2540" b="0"/>
            <wp:docPr id="132213000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15" cy="178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F865D" w14:textId="76AF27C4" w:rsidR="00807B69" w:rsidRDefault="00D071B1" w:rsidP="00D071B1">
      <w:pPr>
        <w:pStyle w:val="Didascalia"/>
        <w:rPr>
          <w:noProof/>
        </w:rPr>
      </w:pPr>
      <w:bookmarkStart w:id="3" w:name="_Ref152080468"/>
      <w:r>
        <w:t xml:space="preserve">Figure </w:t>
      </w:r>
      <w:r>
        <w:fldChar w:fldCharType="begin"/>
      </w:r>
      <w:r>
        <w:instrText xml:space="preserve"> SEQ Figure \* ARABIC \s 1 </w:instrText>
      </w:r>
      <w:r>
        <w:fldChar w:fldCharType="separate"/>
      </w:r>
      <w:r>
        <w:rPr>
          <w:noProof/>
        </w:rPr>
        <w:t>3</w:t>
      </w:r>
      <w:r>
        <w:fldChar w:fldCharType="end"/>
      </w:r>
      <w:bookmarkEnd w:id="3"/>
      <w:r>
        <w:t xml:space="preserve"> - 20</w:t>
      </w:r>
      <w:r w:rsidR="0075016B">
        <w:t>30</w:t>
      </w:r>
      <w:r>
        <w:t xml:space="preserve"> forecasts of energy </w:t>
      </w:r>
      <w:r w:rsidR="00B63DA3">
        <w:t>ratio (ER)</w:t>
      </w:r>
      <w:r>
        <w:t>.</w:t>
      </w:r>
    </w:p>
    <w:p w14:paraId="58997D20" w14:textId="32EBAF0E" w:rsidR="005F335B" w:rsidRDefault="00CC0066" w:rsidP="00C436D3">
      <w:pPr>
        <w:pStyle w:val="Els-1storder-head"/>
      </w:pPr>
      <w:r>
        <w:t xml:space="preserve">Discussion </w:t>
      </w:r>
    </w:p>
    <w:p w14:paraId="287F99D4" w14:textId="3D14511C" w:rsidR="00EC4F58" w:rsidRDefault="00802183" w:rsidP="009A104D">
      <w:pPr>
        <w:pStyle w:val="Els-body-text"/>
      </w:pPr>
      <w:r>
        <w:t>In</w:t>
      </w:r>
      <w:r w:rsidR="00EC45AE" w:rsidRPr="00EC45AE">
        <w:t xml:space="preserve"> some tested cases the parametric models' </w:t>
      </w:r>
      <w:r w:rsidR="004E37E8">
        <w:t>forecast</w:t>
      </w:r>
      <w:r w:rsidR="004E37E8" w:rsidRPr="00EC45AE">
        <w:t xml:space="preserve">s </w:t>
      </w:r>
      <w:r w:rsidR="00EC45AE" w:rsidRPr="00EC45AE">
        <w:t xml:space="preserve">are the best compared </w:t>
      </w:r>
      <w:r w:rsidR="00C84C29">
        <w:t>with</w:t>
      </w:r>
      <w:r w:rsidR="00C84C29" w:rsidRPr="00EC45AE">
        <w:t xml:space="preserve"> </w:t>
      </w:r>
      <w:r w:rsidR="00EC45AE" w:rsidRPr="00EC45AE">
        <w:t>the data-driven and hybrid models. While the gas, oil</w:t>
      </w:r>
      <w:r w:rsidR="00913069">
        <w:t>,</w:t>
      </w:r>
      <w:r w:rsidR="00EC45AE" w:rsidRPr="00EC45AE">
        <w:t xml:space="preserve"> and water production forecasts are improved using parametric models</w:t>
      </w:r>
      <w:r w:rsidR="00C84C29">
        <w:t>,</w:t>
      </w:r>
      <w:r w:rsidR="00EC45AE" w:rsidRPr="00EC45AE">
        <w:t xml:space="preserve"> they do not necessarily have a positive effect on the forecast for other outputs like fuel gas consumption, for which no parametric model was formulated.</w:t>
      </w:r>
      <w:r w:rsidR="00E66FB9">
        <w:t xml:space="preserve"> I</w:t>
      </w:r>
      <w:r w:rsidR="00E66FB9" w:rsidRPr="00E66FB9">
        <w:t>n fact, a purely auto-regression model of the fuel gas consumption has a similar performance as the model using additional</w:t>
      </w:r>
      <w:r w:rsidR="00C84167">
        <w:t xml:space="preserve"> inputs</w:t>
      </w:r>
      <w:r w:rsidR="00E66FB9" w:rsidRPr="00E66FB9">
        <w:t xml:space="preserve">. For the 2030 forecast of the </w:t>
      </w:r>
      <w:r w:rsidR="005E7CBE">
        <w:t>ER</w:t>
      </w:r>
      <w:r w:rsidR="00E66FB9" w:rsidRPr="00E66FB9">
        <w:t>, however, the inclusion of the parametric models is essential since the gas and oil production forecast improves significantly</w:t>
      </w:r>
      <w:r w:rsidR="0007179C">
        <w:t xml:space="preserve">, which is part of the ER. </w:t>
      </w:r>
    </w:p>
    <w:p w14:paraId="7AE7878A" w14:textId="4F65B2D6" w:rsidR="00724241" w:rsidRDefault="00407DBC" w:rsidP="009A104D">
      <w:pPr>
        <w:pStyle w:val="Els-body-text"/>
      </w:pPr>
      <w:r>
        <w:t>The o</w:t>
      </w:r>
      <w:r w:rsidR="0070775F" w:rsidRPr="0070775F">
        <w:t>utputs of the GP regression model are</w:t>
      </w:r>
      <w:r>
        <w:t xml:space="preserve"> the</w:t>
      </w:r>
      <w:r w:rsidR="0070775F" w:rsidRPr="0070775F">
        <w:t xml:space="preserve"> mean and standard deviation. The standard deviation </w:t>
      </w:r>
      <w:r w:rsidR="0007179C">
        <w:t>has not been used</w:t>
      </w:r>
      <w:r w:rsidR="0070775F" w:rsidRPr="0070775F">
        <w:t xml:space="preserve"> in this paper since several models that have also a purely deterministic output were combined. </w:t>
      </w:r>
      <w:r w:rsidR="00796177">
        <w:t>The</w:t>
      </w:r>
      <w:r w:rsidR="0070775F" w:rsidRPr="0070775F">
        <w:t xml:space="preserve"> GP regression models could also be used to create stochastic forecast trajectories. A weakness is that during training it is assumed that the inputs are deterministic and not uncertain while in the long-term </w:t>
      </w:r>
      <w:r w:rsidR="004E37E8">
        <w:t>forecast</w:t>
      </w:r>
      <w:r w:rsidR="004E37E8" w:rsidRPr="0070775F">
        <w:t xml:space="preserve"> </w:t>
      </w:r>
      <w:r w:rsidR="0070775F" w:rsidRPr="0070775F">
        <w:t>uncertain inputs are used. A result is that the uncertainty in the forecast may be underestimated.</w:t>
      </w:r>
      <w:r w:rsidR="009A104D" w:rsidRPr="009A104D">
        <w:t xml:space="preserve"> </w:t>
      </w:r>
    </w:p>
    <w:p w14:paraId="0740B7FC" w14:textId="7411882E" w:rsidR="00724241" w:rsidRDefault="008A717D" w:rsidP="009A104D">
      <w:pPr>
        <w:pStyle w:val="Els-body-text"/>
      </w:pPr>
      <w:r>
        <w:t>W</w:t>
      </w:r>
      <w:r w:rsidR="009A104D" w:rsidRPr="009A104D">
        <w:t xml:space="preserve">hen creating the </w:t>
      </w:r>
      <w:r w:rsidR="004E37E8">
        <w:t>forecast</w:t>
      </w:r>
      <w:r w:rsidR="004E37E8" w:rsidRPr="009A104D">
        <w:t xml:space="preserve"> </w:t>
      </w:r>
      <w:r w:rsidR="009A104D" w:rsidRPr="009A104D">
        <w:t>models</w:t>
      </w:r>
      <w:r w:rsidR="006B68BC">
        <w:t>,</w:t>
      </w:r>
      <w:r w:rsidR="009A104D" w:rsidRPr="009A104D">
        <w:t xml:space="preserve"> physical correlations</w:t>
      </w:r>
      <w:r w:rsidR="00EF0F5C">
        <w:t xml:space="preserve"> </w:t>
      </w:r>
      <w:r w:rsidR="00EF0F5C" w:rsidRPr="009A104D">
        <w:t>are not necessarily inferred from the data set</w:t>
      </w:r>
      <w:r w:rsidR="009A104D" w:rsidRPr="009A104D">
        <w:t xml:space="preserve">, </w:t>
      </w:r>
      <w:r w:rsidR="001A3F7F">
        <w:t>e.g.,</w:t>
      </w:r>
      <w:r w:rsidR="009A104D" w:rsidRPr="009A104D">
        <w:t xml:space="preserve"> increase in water injection increases fuel gas consumption. A reason is that a change in one input, </w:t>
      </w:r>
      <w:r w:rsidR="001A3F7F" w:rsidRPr="009A104D">
        <w:t>e.g.,</w:t>
      </w:r>
      <w:r w:rsidR="009A104D" w:rsidRPr="009A104D">
        <w:t xml:space="preserve"> the water injection also influences other variables so the interaction might be more complex. Another reason is that the data set does not account for all consumers on a platform</w:t>
      </w:r>
      <w:r w:rsidR="00B72520">
        <w:t xml:space="preserve">. </w:t>
      </w:r>
      <w:r w:rsidR="004E1BCD">
        <w:t xml:space="preserve"> </w:t>
      </w:r>
      <w:r w:rsidR="00B72520">
        <w:t xml:space="preserve">Furthermore, the data set </w:t>
      </w:r>
      <w:r w:rsidR="00963511">
        <w:t xml:space="preserve">is small since it </w:t>
      </w:r>
      <w:r w:rsidR="00B72520">
        <w:t xml:space="preserve">has </w:t>
      </w:r>
      <w:r w:rsidR="00963511">
        <w:t xml:space="preserve">just </w:t>
      </w:r>
      <w:r w:rsidR="00B72520">
        <w:t>about</w:t>
      </w:r>
      <w:r w:rsidR="00F031FB">
        <w:t xml:space="preserve"> 300 data points </w:t>
      </w:r>
      <w:r w:rsidR="00EF17B3">
        <w:t>where just 75% are used for training</w:t>
      </w:r>
      <w:r w:rsidR="009A104D" w:rsidRPr="009A104D">
        <w:t xml:space="preserve">. It is expected that the forecast methodology </w:t>
      </w:r>
      <w:r w:rsidR="00B646E1">
        <w:t>improves</w:t>
      </w:r>
      <w:r w:rsidR="009A104D" w:rsidRPr="009A104D">
        <w:t xml:space="preserve"> significantly with a more comprehensive data set. Additionally, the metadata</w:t>
      </w:r>
      <w:r w:rsidR="00547FBC">
        <w:t xml:space="preserve"> (e.g. </w:t>
      </w:r>
      <w:r w:rsidR="008C386D">
        <w:t>installation of new equipment, new</w:t>
      </w:r>
      <w:r w:rsidR="00B646E1">
        <w:t xml:space="preserve"> </w:t>
      </w:r>
      <w:r w:rsidR="008C386D">
        <w:t>well installation, downtime, maintenance time)</w:t>
      </w:r>
      <w:r w:rsidR="009A104D" w:rsidRPr="009A104D">
        <w:t xml:space="preserve"> could be included to avoid wrongly inferred correlations from data.</w:t>
      </w:r>
      <w:r w:rsidR="006F383B" w:rsidRPr="006F383B">
        <w:t xml:space="preserve"> </w:t>
      </w:r>
    </w:p>
    <w:p w14:paraId="36725EA4" w14:textId="51CEEBCE" w:rsidR="005F335B" w:rsidRDefault="006F383B" w:rsidP="009A104D">
      <w:pPr>
        <w:pStyle w:val="Els-body-text"/>
      </w:pPr>
      <w:r w:rsidRPr="006F383B">
        <w:t>In this work</w:t>
      </w:r>
      <w:r w:rsidR="00D65874">
        <w:t>,</w:t>
      </w:r>
      <w:r w:rsidRPr="006F383B">
        <w:t xml:space="preserve"> just two parametric </w:t>
      </w:r>
      <w:r w:rsidR="00724241" w:rsidRPr="006F383B">
        <w:t>models</w:t>
      </w:r>
      <w:r w:rsidR="00D65874">
        <w:t xml:space="preserve"> were </w:t>
      </w:r>
      <w:r w:rsidR="002508FF">
        <w:t>developed,</w:t>
      </w:r>
      <w:r w:rsidRPr="006F383B">
        <w:t xml:space="preserve"> one for </w:t>
      </w:r>
      <w:r w:rsidR="003F0C57" w:rsidRPr="006F383B">
        <w:t>oil</w:t>
      </w:r>
      <w:r w:rsidRPr="006F383B">
        <w:t xml:space="preserve"> and gas production and one for the water production. </w:t>
      </w:r>
      <w:r w:rsidR="008D4057" w:rsidRPr="006F383B">
        <w:t>A</w:t>
      </w:r>
      <w:r w:rsidRPr="006F383B">
        <w:t xml:space="preserve"> challenge is to fit a start-up of the production into </w:t>
      </w:r>
      <w:r w:rsidR="009650DB" w:rsidRPr="006F383B">
        <w:lastRenderedPageBreak/>
        <w:t>th</w:t>
      </w:r>
      <w:r w:rsidR="009650DB">
        <w:t>ese</w:t>
      </w:r>
      <w:r w:rsidR="009650DB" w:rsidRPr="006F383B">
        <w:t xml:space="preserve"> </w:t>
      </w:r>
      <w:r w:rsidRPr="006F383B">
        <w:t>model</w:t>
      </w:r>
      <w:r w:rsidR="009650DB">
        <w:t>s</w:t>
      </w:r>
      <w:r w:rsidRPr="006F383B">
        <w:t>. At the start of a field</w:t>
      </w:r>
      <w:r w:rsidR="00724241">
        <w:t>’</w:t>
      </w:r>
      <w:r w:rsidRPr="006F383B">
        <w:t xml:space="preserve">s </w:t>
      </w:r>
      <w:r w:rsidR="008D4057" w:rsidRPr="006F383B">
        <w:t>lifetime</w:t>
      </w:r>
      <w:r w:rsidRPr="006F383B">
        <w:t xml:space="preserve"> </w:t>
      </w:r>
      <w:r w:rsidR="00182CDF" w:rsidRPr="006F383B">
        <w:t>a</w:t>
      </w:r>
      <w:r w:rsidRPr="006F383B">
        <w:t xml:space="preserve"> </w:t>
      </w:r>
      <w:r w:rsidR="008D4057" w:rsidRPr="006F383B">
        <w:t>production</w:t>
      </w:r>
      <w:r w:rsidR="00E850F6">
        <w:t xml:space="preserve"> </w:t>
      </w:r>
      <w:r w:rsidR="00E850F6" w:rsidRPr="006F383B">
        <w:t>ramp-up</w:t>
      </w:r>
      <w:r w:rsidR="008D4057" w:rsidRPr="006F383B">
        <w:t xml:space="preserve"> can usually</w:t>
      </w:r>
      <w:r w:rsidR="00673EE5">
        <w:t xml:space="preserve"> </w:t>
      </w:r>
      <w:r w:rsidRPr="006F383B">
        <w:t xml:space="preserve">be observed. Moreover, a few years </w:t>
      </w:r>
      <w:r w:rsidR="00673EE5">
        <w:t>constant</w:t>
      </w:r>
      <w:r w:rsidRPr="006F383B">
        <w:t xml:space="preserve"> high production is achieved before the decay starts. These periods cannot be represented by the current model</w:t>
      </w:r>
      <w:r w:rsidR="009650DB">
        <w:t>s</w:t>
      </w:r>
      <w:r w:rsidRPr="006F383B">
        <w:t xml:space="preserve">. A practical approach could be to exclude the first years of a field's lifetime for the training of </w:t>
      </w:r>
      <w:r w:rsidR="001C09A7" w:rsidRPr="006F383B">
        <w:t>parametric</w:t>
      </w:r>
      <w:r w:rsidRPr="006F383B">
        <w:t xml:space="preserve"> model</w:t>
      </w:r>
      <w:r w:rsidR="00511511">
        <w:t>s</w:t>
      </w:r>
      <w:r w:rsidRPr="006F383B">
        <w:t xml:space="preserve">. </w:t>
      </w:r>
      <w:r w:rsidR="00655F64">
        <w:t>In addition</w:t>
      </w:r>
      <w:r w:rsidRPr="006F383B">
        <w:t xml:space="preserve">, parameter estimation is dominated by the first period of production because of the </w:t>
      </w:r>
      <w:r w:rsidR="001C09A7">
        <w:t>significantly</w:t>
      </w:r>
      <w:r w:rsidR="00C33A0B">
        <w:t xml:space="preserve"> </w:t>
      </w:r>
      <w:r w:rsidRPr="006F383B">
        <w:t xml:space="preserve">larger production volume and relatively larger error in the model fit compared to production at later periods. However, the goal is to create a model that predicts well the </w:t>
      </w:r>
      <w:r w:rsidR="00724241" w:rsidRPr="006F383B">
        <w:t>behavior</w:t>
      </w:r>
      <w:r w:rsidRPr="006F383B">
        <w:t xml:space="preserve"> in the future so periods </w:t>
      </w:r>
      <w:r w:rsidR="005E3730">
        <w:t xml:space="preserve">at the end </w:t>
      </w:r>
      <w:r w:rsidRPr="006F383B">
        <w:t xml:space="preserve">of the training set should be weighted more strongly. A challenge is, however, to find suitable weights. </w:t>
      </w:r>
      <w:r w:rsidR="00B452A0">
        <w:t>Another</w:t>
      </w:r>
      <w:r w:rsidRPr="006F383B">
        <w:t xml:space="preserve"> challenge that </w:t>
      </w:r>
      <w:r w:rsidR="00B452A0" w:rsidRPr="006F383B">
        <w:t>w</w:t>
      </w:r>
      <w:r w:rsidR="00B452A0">
        <w:t>as</w:t>
      </w:r>
      <w:r w:rsidR="00B452A0" w:rsidRPr="006F383B">
        <w:t xml:space="preserve"> </w:t>
      </w:r>
      <w:r w:rsidRPr="006F383B">
        <w:t>observed for the Brage field</w:t>
      </w:r>
      <w:r w:rsidR="000061EF">
        <w:t xml:space="preserve"> </w:t>
      </w:r>
      <w:r w:rsidR="00D01C6D" w:rsidRPr="006F383B">
        <w:t>is</w:t>
      </w:r>
      <w:r w:rsidRPr="006F383B">
        <w:t xml:space="preserve"> production increases due to</w:t>
      </w:r>
      <w:r w:rsidR="006F21D4">
        <w:t xml:space="preserve"> events that are not part of the meta-data, such as</w:t>
      </w:r>
      <w:r w:rsidRPr="006F383B">
        <w:t xml:space="preserve"> installation of new wells or upgrade of equipment. </w:t>
      </w:r>
      <w:r w:rsidR="00C90B34">
        <w:t>This</w:t>
      </w:r>
      <w:r w:rsidR="00C90B34" w:rsidRPr="006F383B">
        <w:t xml:space="preserve"> </w:t>
      </w:r>
      <w:r w:rsidRPr="006F383B">
        <w:t>can increase production for some time</w:t>
      </w:r>
      <w:r w:rsidR="00C90B34">
        <w:t>,</w:t>
      </w:r>
      <w:r w:rsidRPr="006F383B">
        <w:t xml:space="preserve"> which can lead to a</w:t>
      </w:r>
      <w:r w:rsidR="00DC3792">
        <w:t>n</w:t>
      </w:r>
      <w:r w:rsidRPr="006F383B">
        <w:t xml:space="preserve"> over-prediction of future production by the parametric model.</w:t>
      </w:r>
    </w:p>
    <w:p w14:paraId="3D61FE54" w14:textId="77777777" w:rsidR="00DC3792" w:rsidRDefault="008D2649" w:rsidP="00C436D3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61917F7A" w14:textId="66DCDBA3" w:rsidR="00802183" w:rsidRDefault="00802183" w:rsidP="00DB5373">
      <w:pPr>
        <w:pStyle w:val="Els-1storder-head"/>
        <w:numPr>
          <w:ilvl w:val="0"/>
          <w:numId w:val="0"/>
        </w:numPr>
        <w:spacing w:before="120" w:after="120"/>
        <w:rPr>
          <w:b w:val="0"/>
          <w:sz w:val="20"/>
        </w:rPr>
      </w:pPr>
      <w:r w:rsidRPr="00DC3792">
        <w:rPr>
          <w:b w:val="0"/>
          <w:sz w:val="20"/>
        </w:rPr>
        <w:t xml:space="preserve">In this paper a forecast methodology </w:t>
      </w:r>
      <w:r w:rsidR="00EC0CAB">
        <w:rPr>
          <w:b w:val="0"/>
          <w:sz w:val="20"/>
        </w:rPr>
        <w:t>was</w:t>
      </w:r>
      <w:r w:rsidR="00EC0CAB" w:rsidRPr="00DC3792">
        <w:rPr>
          <w:b w:val="0"/>
          <w:sz w:val="20"/>
        </w:rPr>
        <w:t xml:space="preserve"> </w:t>
      </w:r>
      <w:r w:rsidRPr="00DC3792">
        <w:rPr>
          <w:b w:val="0"/>
          <w:sz w:val="20"/>
        </w:rPr>
        <w:t xml:space="preserve">presented that uses publicly available production data from oil and gas fields. It </w:t>
      </w:r>
      <w:r w:rsidR="00AD3026">
        <w:rPr>
          <w:b w:val="0"/>
          <w:sz w:val="20"/>
        </w:rPr>
        <w:t>was</w:t>
      </w:r>
      <w:r w:rsidR="00AD3026" w:rsidRPr="00DC3792">
        <w:rPr>
          <w:b w:val="0"/>
          <w:sz w:val="20"/>
        </w:rPr>
        <w:t xml:space="preserve"> </w:t>
      </w:r>
      <w:r w:rsidRPr="00DC3792">
        <w:rPr>
          <w:b w:val="0"/>
          <w:sz w:val="20"/>
        </w:rPr>
        <w:t xml:space="preserve">shown that the general trends can be captured by the </w:t>
      </w:r>
      <w:r w:rsidR="00DC3792" w:rsidRPr="00DC3792">
        <w:rPr>
          <w:b w:val="0"/>
          <w:sz w:val="20"/>
        </w:rPr>
        <w:t>forecast</w:t>
      </w:r>
      <w:r w:rsidR="00DC3792">
        <w:rPr>
          <w:b w:val="0"/>
          <w:sz w:val="20"/>
        </w:rPr>
        <w:t xml:space="preserve"> </w:t>
      </w:r>
      <w:r w:rsidRPr="00DC3792">
        <w:rPr>
          <w:b w:val="0"/>
          <w:sz w:val="20"/>
        </w:rPr>
        <w:t>models</w:t>
      </w:r>
      <w:r w:rsidR="003C2689">
        <w:rPr>
          <w:b w:val="0"/>
          <w:sz w:val="20"/>
        </w:rPr>
        <w:t xml:space="preserve">, which helps to </w:t>
      </w:r>
      <w:r w:rsidR="00A271BD">
        <w:rPr>
          <w:b w:val="0"/>
          <w:sz w:val="20"/>
        </w:rPr>
        <w:t>estimate</w:t>
      </w:r>
      <w:r w:rsidR="003C2689">
        <w:rPr>
          <w:b w:val="0"/>
          <w:sz w:val="20"/>
        </w:rPr>
        <w:t xml:space="preserve"> future energy consumption on the platform.</w:t>
      </w:r>
      <w:r w:rsidR="00B46E26">
        <w:rPr>
          <w:b w:val="0"/>
          <w:sz w:val="20"/>
        </w:rPr>
        <w:t xml:space="preserve"> </w:t>
      </w:r>
      <w:r w:rsidRPr="00DC3792">
        <w:rPr>
          <w:b w:val="0"/>
          <w:sz w:val="20"/>
        </w:rPr>
        <w:t>The parametric models help to support the data-driven models to capture the expected trends for oil and gas productions</w:t>
      </w:r>
      <w:r w:rsidR="00DC3792" w:rsidRPr="00DC3792">
        <w:rPr>
          <w:b w:val="0"/>
          <w:sz w:val="20"/>
        </w:rPr>
        <w:t>.</w:t>
      </w:r>
      <w:r w:rsidR="008A3B7F">
        <w:rPr>
          <w:b w:val="0"/>
          <w:sz w:val="20"/>
        </w:rPr>
        <w:t xml:space="preserve"> In </w:t>
      </w:r>
      <w:r w:rsidR="00330314">
        <w:rPr>
          <w:b w:val="0"/>
          <w:sz w:val="20"/>
        </w:rPr>
        <w:t xml:space="preserve">the </w:t>
      </w:r>
      <w:r w:rsidR="008A3B7F">
        <w:rPr>
          <w:b w:val="0"/>
          <w:sz w:val="20"/>
        </w:rPr>
        <w:t xml:space="preserve">future, the methodology </w:t>
      </w:r>
      <w:r w:rsidR="00082CA0">
        <w:rPr>
          <w:b w:val="0"/>
          <w:sz w:val="20"/>
        </w:rPr>
        <w:t xml:space="preserve">can </w:t>
      </w:r>
      <w:r w:rsidR="008A3B7F">
        <w:rPr>
          <w:b w:val="0"/>
          <w:sz w:val="20"/>
        </w:rPr>
        <w:t>be tested on more oil and gas fields</w:t>
      </w:r>
      <w:r w:rsidR="00082CA0">
        <w:rPr>
          <w:b w:val="0"/>
          <w:sz w:val="20"/>
        </w:rPr>
        <w:t xml:space="preserve">. With different types of oil and gas fields, </w:t>
      </w:r>
      <w:r w:rsidR="008A3B7F">
        <w:rPr>
          <w:b w:val="0"/>
          <w:sz w:val="20"/>
        </w:rPr>
        <w:t xml:space="preserve">additional parametric models for other production variables </w:t>
      </w:r>
      <w:r w:rsidR="00082CA0">
        <w:rPr>
          <w:b w:val="0"/>
          <w:sz w:val="20"/>
        </w:rPr>
        <w:t xml:space="preserve">may need to </w:t>
      </w:r>
      <w:r w:rsidR="008A3B7F">
        <w:rPr>
          <w:b w:val="0"/>
          <w:sz w:val="20"/>
        </w:rPr>
        <w:t xml:space="preserve">be developed. </w:t>
      </w:r>
    </w:p>
    <w:p w14:paraId="7609B07A" w14:textId="03FED2A0" w:rsidR="00F07503" w:rsidRPr="000C4809" w:rsidRDefault="00F07503" w:rsidP="00F07503">
      <w:pPr>
        <w:pStyle w:val="Els-body-text"/>
        <w:rPr>
          <w:b/>
          <w:bCs/>
        </w:rPr>
      </w:pPr>
      <w:proofErr w:type="spellStart"/>
      <w:r w:rsidRPr="000C4809">
        <w:rPr>
          <w:b/>
          <w:bCs/>
        </w:rPr>
        <w:t>Acknowlegdment</w:t>
      </w:r>
      <w:proofErr w:type="spellEnd"/>
    </w:p>
    <w:p w14:paraId="4CDEDE93" w14:textId="252507FB" w:rsidR="001F373D" w:rsidRPr="008C3D3D" w:rsidRDefault="0053138A" w:rsidP="001F373D">
      <w:pPr>
        <w:pStyle w:val="Els-body-text"/>
        <w:rPr>
          <w:sz w:val="18"/>
          <w:szCs w:val="18"/>
        </w:rPr>
      </w:pPr>
      <w:r w:rsidRPr="008C3D3D">
        <w:rPr>
          <w:sz w:val="18"/>
          <w:szCs w:val="18"/>
        </w:rPr>
        <w:t>Support from t</w:t>
      </w:r>
      <w:r w:rsidR="001F373D" w:rsidRPr="008C3D3D">
        <w:rPr>
          <w:sz w:val="18"/>
          <w:szCs w:val="18"/>
        </w:rPr>
        <w:t xml:space="preserve">he Research Council of Norway </w:t>
      </w:r>
      <w:r w:rsidR="0063111B" w:rsidRPr="008C3D3D">
        <w:rPr>
          <w:sz w:val="18"/>
          <w:szCs w:val="18"/>
        </w:rPr>
        <w:t xml:space="preserve">and partners of </w:t>
      </w:r>
      <w:r w:rsidR="001F373D" w:rsidRPr="008C3D3D">
        <w:rPr>
          <w:sz w:val="18"/>
          <w:szCs w:val="18"/>
        </w:rPr>
        <w:t xml:space="preserve">PETROSENTER </w:t>
      </w:r>
      <w:proofErr w:type="spellStart"/>
      <w:r w:rsidR="001F373D" w:rsidRPr="008C3D3D">
        <w:rPr>
          <w:sz w:val="18"/>
          <w:szCs w:val="18"/>
        </w:rPr>
        <w:t>LowEmission</w:t>
      </w:r>
      <w:proofErr w:type="spellEnd"/>
      <w:r w:rsidR="001F373D" w:rsidRPr="008C3D3D">
        <w:rPr>
          <w:sz w:val="18"/>
          <w:szCs w:val="18"/>
        </w:rPr>
        <w:t xml:space="preserve"> (project code 296207)</w:t>
      </w:r>
      <w:r w:rsidR="0063111B" w:rsidRPr="008C3D3D">
        <w:rPr>
          <w:sz w:val="18"/>
          <w:szCs w:val="18"/>
        </w:rPr>
        <w:t xml:space="preserve"> is gratefully acknowledged.</w:t>
      </w:r>
    </w:p>
    <w:p w14:paraId="144DE6BF" w14:textId="499483CF" w:rsidR="008D2649" w:rsidRDefault="008D2649" w:rsidP="00C436D3">
      <w:pPr>
        <w:pStyle w:val="Els-reference-head"/>
      </w:pPr>
      <w:r>
        <w:t>References</w:t>
      </w:r>
    </w:p>
    <w:p w14:paraId="53D8C0DB" w14:textId="41E2E531" w:rsidR="00134948" w:rsidRPr="00DB5373" w:rsidRDefault="00134948" w:rsidP="00DB5373">
      <w:pPr>
        <w:pStyle w:val="Els-referenceno-number"/>
        <w:ind w:left="426" w:hanging="426"/>
        <w:jc w:val="both"/>
        <w:rPr>
          <w:lang w:val="en-US"/>
        </w:rPr>
      </w:pPr>
      <w:r w:rsidRPr="00C335D9">
        <w:t>C.E. Rasmussen</w:t>
      </w:r>
      <w:r w:rsidR="00A44895">
        <w:t xml:space="preserve"> and</w:t>
      </w:r>
      <w:r w:rsidR="00C335D9" w:rsidRPr="00C335D9">
        <w:t xml:space="preserve"> C.K.</w:t>
      </w:r>
      <w:r w:rsidR="00C335D9" w:rsidRPr="0080517F">
        <w:t xml:space="preserve"> Wi</w:t>
      </w:r>
      <w:r w:rsidR="00C335D9">
        <w:t>lliams</w:t>
      </w:r>
      <w:r w:rsidRPr="00C335D9">
        <w:t xml:space="preserve"> </w:t>
      </w:r>
      <w:r w:rsidRPr="00134948">
        <w:t>, 2006, Gaussian processes for machine lea</w:t>
      </w:r>
      <w:r>
        <w:t>rning, MIT Press</w:t>
      </w:r>
      <w:r w:rsidR="00C54B57">
        <w:t xml:space="preserve">. </w:t>
      </w:r>
    </w:p>
    <w:p w14:paraId="3CE6C514" w14:textId="096D7C3C" w:rsidR="00CD4A08" w:rsidRDefault="00280F1F" w:rsidP="00B603E8">
      <w:pPr>
        <w:pStyle w:val="Els-referenceno-number"/>
        <w:ind w:left="426" w:hanging="426"/>
        <w:jc w:val="both"/>
      </w:pPr>
      <w:r w:rsidRPr="00CD4A08">
        <w:t>D.</w:t>
      </w:r>
      <w:r>
        <w:t xml:space="preserve"> </w:t>
      </w:r>
      <w:r w:rsidR="00CD4A08" w:rsidRPr="00CD4A08">
        <w:t>Fan, et al.</w:t>
      </w:r>
      <w:r>
        <w:t>, 2021,</w:t>
      </w:r>
      <w:r w:rsidR="00CD4A08" w:rsidRPr="00CD4A08">
        <w:t xml:space="preserve"> Well production forecasting based on ARIMA-LSTM model considering manual operations. Energy 220, 119708.</w:t>
      </w:r>
    </w:p>
    <w:p w14:paraId="418212D0" w14:textId="77777777" w:rsidR="0057167E" w:rsidRDefault="0057167E" w:rsidP="0057167E">
      <w:pPr>
        <w:pStyle w:val="Els-referenceno-number"/>
        <w:ind w:left="426" w:hanging="426"/>
        <w:jc w:val="both"/>
      </w:pPr>
      <w:r w:rsidRPr="00BD1328">
        <w:t xml:space="preserve">D. Koroteev </w:t>
      </w:r>
      <w:r>
        <w:t xml:space="preserve">and </w:t>
      </w:r>
      <w:r w:rsidRPr="00BD1328">
        <w:t>Tekic, Z.</w:t>
      </w:r>
      <w:r>
        <w:t>, 2021,</w:t>
      </w:r>
      <w:r w:rsidRPr="00BD1328">
        <w:t xml:space="preserve"> Artificial intelligence in oil and gas upstream: Trends, challenges, and scenarios for the future. Energy and AI 3, 100041</w:t>
      </w:r>
      <w:r>
        <w:t>.</w:t>
      </w:r>
    </w:p>
    <w:p w14:paraId="3A57A445" w14:textId="06F881C9" w:rsidR="0057167E" w:rsidRDefault="0057167E" w:rsidP="00DB5373">
      <w:pPr>
        <w:ind w:left="426" w:hanging="426"/>
        <w:rPr>
          <w:sz w:val="18"/>
          <w:szCs w:val="18"/>
          <w:lang w:val="en-US"/>
        </w:rPr>
      </w:pPr>
      <w:r w:rsidRPr="00DB5373">
        <w:rPr>
          <w:sz w:val="18"/>
          <w:szCs w:val="18"/>
          <w:lang w:val="en-US"/>
        </w:rPr>
        <w:t xml:space="preserve">F. </w:t>
      </w:r>
      <w:proofErr w:type="spellStart"/>
      <w:r w:rsidRPr="000218F6">
        <w:rPr>
          <w:sz w:val="18"/>
          <w:szCs w:val="18"/>
          <w:lang w:val="en-US"/>
        </w:rPr>
        <w:t>Ueckerdt</w:t>
      </w:r>
      <w:proofErr w:type="spellEnd"/>
      <w:r w:rsidRPr="000218F6">
        <w:rPr>
          <w:sz w:val="18"/>
          <w:szCs w:val="18"/>
          <w:lang w:val="en-US"/>
        </w:rPr>
        <w:t>, et al.</w:t>
      </w:r>
      <w:r w:rsidRPr="00DB5373">
        <w:rPr>
          <w:sz w:val="18"/>
          <w:szCs w:val="18"/>
          <w:lang w:val="en-US"/>
        </w:rPr>
        <w:t>,</w:t>
      </w:r>
      <w:r>
        <w:rPr>
          <w:sz w:val="18"/>
          <w:szCs w:val="18"/>
          <w:lang w:val="en-US"/>
        </w:rPr>
        <w:t xml:space="preserve"> </w:t>
      </w:r>
      <w:r w:rsidRPr="00D16FC7">
        <w:rPr>
          <w:sz w:val="18"/>
          <w:szCs w:val="18"/>
          <w:lang w:val="en-US"/>
        </w:rPr>
        <w:t>2024</w:t>
      </w:r>
      <w:r>
        <w:rPr>
          <w:sz w:val="18"/>
          <w:szCs w:val="18"/>
          <w:lang w:val="en-US"/>
        </w:rPr>
        <w:t>,</w:t>
      </w:r>
      <w:r w:rsidRPr="00D16FC7">
        <w:rPr>
          <w:sz w:val="18"/>
          <w:szCs w:val="18"/>
          <w:lang w:val="en-US"/>
        </w:rPr>
        <w:t xml:space="preserve"> On the cost competitiveness of blue and green hydrogen</w:t>
      </w:r>
      <w:r>
        <w:rPr>
          <w:sz w:val="18"/>
          <w:szCs w:val="18"/>
          <w:lang w:val="en-US"/>
        </w:rPr>
        <w:t>,</w:t>
      </w:r>
      <w:r w:rsidRPr="00D16FC7">
        <w:rPr>
          <w:sz w:val="18"/>
          <w:szCs w:val="18"/>
          <w:lang w:val="en-US"/>
        </w:rPr>
        <w:t xml:space="preserve"> Joule</w:t>
      </w:r>
      <w:r>
        <w:rPr>
          <w:sz w:val="18"/>
          <w:szCs w:val="18"/>
          <w:lang w:val="en-US"/>
        </w:rPr>
        <w:t xml:space="preserve">, </w:t>
      </w:r>
      <w:r w:rsidRPr="00A57329">
        <w:rPr>
          <w:sz w:val="18"/>
          <w:szCs w:val="18"/>
          <w:lang w:val="en-US"/>
        </w:rPr>
        <w:t>8,1–25</w:t>
      </w:r>
      <w:r>
        <w:rPr>
          <w:sz w:val="18"/>
          <w:szCs w:val="18"/>
          <w:lang w:val="en-US"/>
        </w:rPr>
        <w:t xml:space="preserve">. </w:t>
      </w:r>
    </w:p>
    <w:p w14:paraId="7DCA7CF1" w14:textId="40F89806" w:rsidR="0057167E" w:rsidRPr="0057167E" w:rsidRDefault="0057167E" w:rsidP="00DB5373">
      <w:pPr>
        <w:ind w:left="426" w:hanging="426"/>
        <w:rPr>
          <w:sz w:val="18"/>
          <w:szCs w:val="18"/>
          <w:lang w:val="en-US"/>
        </w:rPr>
      </w:pPr>
      <w:r w:rsidRPr="00AC351B">
        <w:rPr>
          <w:sz w:val="18"/>
          <w:szCs w:val="18"/>
          <w:lang w:val="en-US"/>
        </w:rPr>
        <w:t>International Energy Agency (IEA), World Energy Outlook 202</w:t>
      </w:r>
      <w:r>
        <w:rPr>
          <w:sz w:val="18"/>
          <w:szCs w:val="18"/>
          <w:lang w:val="en-US"/>
        </w:rPr>
        <w:t>3</w:t>
      </w:r>
      <w:r w:rsidRPr="00AC351B">
        <w:rPr>
          <w:sz w:val="18"/>
          <w:szCs w:val="18"/>
          <w:lang w:val="en-US"/>
        </w:rPr>
        <w:t>, 202</w:t>
      </w:r>
      <w:r>
        <w:rPr>
          <w:sz w:val="18"/>
          <w:szCs w:val="18"/>
          <w:lang w:val="en-US"/>
        </w:rPr>
        <w:t>3</w:t>
      </w:r>
      <w:r w:rsidRPr="00AC351B">
        <w:rPr>
          <w:sz w:val="18"/>
          <w:szCs w:val="18"/>
          <w:lang w:val="en-US"/>
        </w:rPr>
        <w:t>.</w:t>
      </w:r>
      <w:r w:rsidRPr="00824F17">
        <w:rPr>
          <w:sz w:val="18"/>
          <w:szCs w:val="18"/>
          <w:lang w:val="en-US"/>
        </w:rPr>
        <w:t xml:space="preserve"> </w:t>
      </w:r>
      <w:r w:rsidRPr="0057167E">
        <w:rPr>
          <w:sz w:val="18"/>
          <w:szCs w:val="18"/>
          <w:lang w:val="en-US"/>
        </w:rPr>
        <w:t>www.iea.org/reports/world-energy-outlook-2023</w:t>
      </w:r>
      <w:r w:rsidRPr="0057167E" w:rsidDel="00731A05">
        <w:rPr>
          <w:sz w:val="18"/>
          <w:szCs w:val="18"/>
          <w:lang w:val="en-US"/>
        </w:rPr>
        <w:t xml:space="preserve"> </w:t>
      </w:r>
    </w:p>
    <w:p w14:paraId="4745E40C" w14:textId="41398005" w:rsidR="0057167E" w:rsidRDefault="0057167E" w:rsidP="00DB5373">
      <w:pPr>
        <w:pStyle w:val="Els-referenceno-number"/>
        <w:ind w:left="426" w:hanging="426"/>
        <w:jc w:val="both"/>
      </w:pPr>
      <w:r w:rsidRPr="00EC04FF">
        <w:t>M.S. Masnadi</w:t>
      </w:r>
      <w:r>
        <w:t>, A.R. Brandt</w:t>
      </w:r>
      <w:r w:rsidRPr="00EC04FF">
        <w:t>, 2017, Climate impact</w:t>
      </w:r>
      <w:r>
        <w:t>s of oil extraction increase significantly with oil field age, Nature Climate Change, 7, 551-556</w:t>
      </w:r>
    </w:p>
    <w:p w14:paraId="4D100F34" w14:textId="7EB29587" w:rsidR="0057167E" w:rsidRDefault="0057167E" w:rsidP="0057167E">
      <w:pPr>
        <w:pStyle w:val="Els-referenceno-number"/>
        <w:ind w:left="426" w:hanging="426"/>
        <w:jc w:val="both"/>
      </w:pPr>
      <w:r>
        <w:t xml:space="preserve">M. </w:t>
      </w:r>
      <w:r w:rsidRPr="00333485">
        <w:t>Voldsund et al.</w:t>
      </w:r>
      <w:r>
        <w:t xml:space="preserve">, </w:t>
      </w:r>
      <w:r w:rsidRPr="00333485">
        <w:t>2023</w:t>
      </w:r>
      <w:r>
        <w:t>,</w:t>
      </w:r>
      <w:r w:rsidRPr="00333485">
        <w:t xml:space="preserve"> Low carbon power generation for offshore oil and gas production. Energy Conversion and Management: X 17, 100347.</w:t>
      </w:r>
    </w:p>
    <w:p w14:paraId="24ADB156" w14:textId="5138DDE5" w:rsidR="0057167E" w:rsidRDefault="0057167E" w:rsidP="0057167E">
      <w:pPr>
        <w:ind w:left="426" w:hanging="426"/>
        <w:rPr>
          <w:sz w:val="18"/>
          <w:szCs w:val="18"/>
        </w:rPr>
      </w:pPr>
      <w:r>
        <w:rPr>
          <w:sz w:val="18"/>
          <w:szCs w:val="18"/>
          <w:lang w:val="en-US"/>
        </w:rPr>
        <w:t>N</w:t>
      </w:r>
      <w:r w:rsidRPr="000C4809">
        <w:rPr>
          <w:sz w:val="18"/>
          <w:szCs w:val="18"/>
          <w:lang w:val="en-US"/>
        </w:rPr>
        <w:t xml:space="preserve">orwegian Petroleum Directorate, The </w:t>
      </w:r>
      <w:r>
        <w:rPr>
          <w:sz w:val="18"/>
          <w:szCs w:val="18"/>
          <w:lang w:val="en-US"/>
        </w:rPr>
        <w:t>DISKOS</w:t>
      </w:r>
      <w:r w:rsidRPr="000C4809">
        <w:rPr>
          <w:sz w:val="18"/>
          <w:szCs w:val="18"/>
          <w:lang w:val="en-US"/>
        </w:rPr>
        <w:t xml:space="preserve"> production</w:t>
      </w:r>
      <w:r>
        <w:rPr>
          <w:sz w:val="18"/>
          <w:szCs w:val="18"/>
          <w:lang w:val="en-US"/>
        </w:rPr>
        <w:t xml:space="preserve"> </w:t>
      </w:r>
      <w:r w:rsidRPr="000C4809">
        <w:rPr>
          <w:sz w:val="18"/>
          <w:szCs w:val="18"/>
          <w:lang w:val="en-US"/>
        </w:rPr>
        <w:t>database</w:t>
      </w:r>
      <w:r>
        <w:rPr>
          <w:sz w:val="18"/>
          <w:szCs w:val="18"/>
          <w:lang w:val="en-US"/>
        </w:rPr>
        <w:t xml:space="preserve"> (DISKOS NDR)</w:t>
      </w:r>
      <w:r w:rsidRPr="000C4809">
        <w:rPr>
          <w:sz w:val="18"/>
          <w:szCs w:val="18"/>
          <w:lang w:val="en-US"/>
        </w:rPr>
        <w:t>, 2022.</w:t>
      </w:r>
      <w:r w:rsidRPr="00824F17">
        <w:rPr>
          <w:sz w:val="18"/>
          <w:szCs w:val="18"/>
          <w:lang w:val="en-US"/>
        </w:rPr>
        <w:t xml:space="preserve"> </w:t>
      </w:r>
      <w:r w:rsidRPr="00DB5373">
        <w:t>www.npd.no/en/diskos/production/</w:t>
      </w:r>
      <w:r>
        <w:rPr>
          <w:sz w:val="18"/>
          <w:szCs w:val="18"/>
        </w:rPr>
        <w:t xml:space="preserve"> </w:t>
      </w:r>
    </w:p>
    <w:p w14:paraId="668AC647" w14:textId="3A1EDDB6" w:rsidR="0057167E" w:rsidRPr="00DB5373" w:rsidRDefault="0057167E" w:rsidP="00DB5373">
      <w:pPr>
        <w:ind w:left="426" w:hanging="426"/>
        <w:rPr>
          <w:rStyle w:val="Collegamentoipertestuale"/>
          <w:sz w:val="18"/>
          <w:szCs w:val="18"/>
        </w:rPr>
      </w:pPr>
      <w:r w:rsidRPr="00824F17">
        <w:rPr>
          <w:sz w:val="18"/>
          <w:szCs w:val="18"/>
          <w:lang w:val="en-US"/>
        </w:rPr>
        <w:t>Norwegian Petroleum Directorate, Greenhouse gas emissions, 2023.</w:t>
      </w:r>
      <w:r w:rsidRPr="0057167E">
        <w:rPr>
          <w:sz w:val="18"/>
          <w:szCs w:val="18"/>
          <w:lang w:val="en-US"/>
        </w:rPr>
        <w:t xml:space="preserve"> </w:t>
      </w:r>
      <w:r w:rsidRPr="00DB5373">
        <w:t>www.norskpetroleum.no/en/environment-and-technology/emissions-to-air</w:t>
      </w:r>
      <w:r w:rsidRPr="00DB5373">
        <w:rPr>
          <w:sz w:val="18"/>
          <w:szCs w:val="18"/>
        </w:rPr>
        <w:t xml:space="preserve"> </w:t>
      </w:r>
    </w:p>
    <w:p w14:paraId="50B2D7BF" w14:textId="77777777" w:rsidR="0057167E" w:rsidRDefault="0057167E" w:rsidP="0057167E">
      <w:pPr>
        <w:pStyle w:val="Els-referenceno-number"/>
        <w:ind w:left="426" w:hanging="426"/>
        <w:jc w:val="both"/>
      </w:pPr>
      <w:r w:rsidRPr="001444BF">
        <w:t>Pan, S. et al.</w:t>
      </w:r>
      <w:r>
        <w:t>, 2023,</w:t>
      </w:r>
      <w:r w:rsidRPr="001444BF">
        <w:t xml:space="preserve"> Oil well production prediction based on CNN-LSTM model with self-attention mechanism. Energy 284, 12870.</w:t>
      </w:r>
    </w:p>
    <w:p w14:paraId="639C5C40" w14:textId="25E2B4C4" w:rsidR="0057167E" w:rsidRDefault="0057167E">
      <w:pPr>
        <w:ind w:left="426" w:hanging="426"/>
        <w:rPr>
          <w:sz w:val="18"/>
          <w:szCs w:val="18"/>
          <w:lang w:val="en-US"/>
        </w:rPr>
      </w:pPr>
      <w:r w:rsidRPr="00DB5373">
        <w:rPr>
          <w:sz w:val="18"/>
          <w:szCs w:val="18"/>
        </w:rPr>
        <w:t xml:space="preserve">U. </w:t>
      </w:r>
      <w:proofErr w:type="spellStart"/>
      <w:r w:rsidRPr="00DB5373">
        <w:rPr>
          <w:sz w:val="18"/>
          <w:szCs w:val="18"/>
        </w:rPr>
        <w:t>Bardi</w:t>
      </w:r>
      <w:proofErr w:type="spellEnd"/>
      <w:r w:rsidRPr="00DB5373">
        <w:rPr>
          <w:sz w:val="18"/>
          <w:szCs w:val="18"/>
        </w:rPr>
        <w:t xml:space="preserve">, 2019. </w:t>
      </w:r>
      <w:r w:rsidRPr="00B603E8">
        <w:rPr>
          <w:sz w:val="18"/>
          <w:szCs w:val="18"/>
          <w:lang w:val="en-US"/>
        </w:rPr>
        <w:t xml:space="preserve">Peak oil, 20 years later: Failed prediction or useful insight? Energy Research &amp; Social Science 48, 257–261. </w:t>
      </w:r>
    </w:p>
    <w:p w14:paraId="29A0CF87" w14:textId="296E8622" w:rsidR="007F0D28" w:rsidRPr="00DB5373" w:rsidRDefault="006E410D" w:rsidP="00DB5373">
      <w:pPr>
        <w:ind w:left="426" w:hanging="426"/>
        <w:rPr>
          <w:sz w:val="18"/>
          <w:szCs w:val="18"/>
        </w:rPr>
      </w:pPr>
      <w:r w:rsidRPr="00DB5373">
        <w:rPr>
          <w:sz w:val="18"/>
          <w:szCs w:val="18"/>
        </w:rPr>
        <w:t xml:space="preserve">T. Holt and H. </w:t>
      </w:r>
      <w:proofErr w:type="spellStart"/>
      <w:r w:rsidRPr="00DB5373">
        <w:rPr>
          <w:sz w:val="18"/>
          <w:szCs w:val="18"/>
        </w:rPr>
        <w:t>Schümann</w:t>
      </w:r>
      <w:proofErr w:type="spellEnd"/>
      <w:r w:rsidRPr="00DB5373">
        <w:rPr>
          <w:sz w:val="18"/>
          <w:szCs w:val="18"/>
        </w:rPr>
        <w:t xml:space="preserve">, 2022, </w:t>
      </w:r>
      <w:r w:rsidR="006A2E48" w:rsidRPr="00DB5373">
        <w:rPr>
          <w:sz w:val="18"/>
          <w:szCs w:val="18"/>
        </w:rPr>
        <w:t>Energy Efficient</w:t>
      </w:r>
      <w:r w:rsidR="006A2E48">
        <w:rPr>
          <w:sz w:val="18"/>
          <w:szCs w:val="18"/>
        </w:rPr>
        <w:t xml:space="preserve"> Operation of Petroleum Production Plants</w:t>
      </w:r>
      <w:r w:rsidR="00513C87">
        <w:rPr>
          <w:sz w:val="18"/>
          <w:szCs w:val="18"/>
        </w:rPr>
        <w:t>. SPE Norway Subsurface Conference</w:t>
      </w:r>
      <w:r w:rsidR="000A47D6">
        <w:rPr>
          <w:sz w:val="18"/>
          <w:szCs w:val="18"/>
        </w:rPr>
        <w:t>.</w:t>
      </w:r>
    </w:p>
    <w:p w14:paraId="1D973CBA" w14:textId="77777777" w:rsidR="0057167E" w:rsidRPr="00134948" w:rsidRDefault="0057167E" w:rsidP="00DB5373">
      <w:pPr>
        <w:pStyle w:val="Els-referenceno-number"/>
        <w:ind w:left="426" w:hanging="426"/>
        <w:jc w:val="both"/>
      </w:pPr>
    </w:p>
    <w:sectPr w:rsidR="0057167E" w:rsidRPr="00134948" w:rsidSect="007D1126">
      <w:headerReference w:type="even" r:id="rId16"/>
      <w:headerReference w:type="default" r:id="rId17"/>
      <w:headerReference w:type="first" r:id="rId18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6C8A6" w14:textId="77777777" w:rsidR="001062C7" w:rsidRDefault="001062C7">
      <w:r>
        <w:separator/>
      </w:r>
    </w:p>
  </w:endnote>
  <w:endnote w:type="continuationSeparator" w:id="0">
    <w:p w14:paraId="4799D1DE" w14:textId="77777777" w:rsidR="001062C7" w:rsidRDefault="001062C7">
      <w:r>
        <w:continuationSeparator/>
      </w:r>
    </w:p>
  </w:endnote>
  <w:endnote w:type="continuationNotice" w:id="1">
    <w:p w14:paraId="09B148B9" w14:textId="77777777" w:rsidR="001062C7" w:rsidRDefault="00106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124C6" w14:textId="77777777" w:rsidR="001062C7" w:rsidRDefault="001062C7">
      <w:r>
        <w:separator/>
      </w:r>
    </w:p>
  </w:footnote>
  <w:footnote w:type="continuationSeparator" w:id="0">
    <w:p w14:paraId="3807CB05" w14:textId="77777777" w:rsidR="001062C7" w:rsidRDefault="001062C7">
      <w:r>
        <w:continuationSeparator/>
      </w:r>
    </w:p>
  </w:footnote>
  <w:footnote w:type="continuationNotice" w:id="1">
    <w:p w14:paraId="253A9431" w14:textId="77777777" w:rsidR="001062C7" w:rsidRDefault="00106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70B20246" w:rsidR="00DD3D9E" w:rsidRPr="0030611E" w:rsidRDefault="00DD3D9E">
    <w:pPr>
      <w:pStyle w:val="Intestazione"/>
      <w:tabs>
        <w:tab w:val="clear" w:pos="7200"/>
        <w:tab w:val="right" w:pos="7088"/>
      </w:tabs>
      <w:rPr>
        <w:lang w:val="nb-NO"/>
      </w:rPr>
    </w:pPr>
    <w:r>
      <w:rPr>
        <w:rStyle w:val="Numeropagina"/>
      </w:rPr>
      <w:tab/>
    </w:r>
    <w:r>
      <w:rPr>
        <w:rStyle w:val="Numeropagina"/>
        <w:i/>
      </w:rPr>
      <w:tab/>
    </w:r>
    <w:r w:rsidR="0030611E" w:rsidRPr="0030611E">
      <w:rPr>
        <w:rStyle w:val="Numeropagina"/>
        <w:i/>
        <w:lang w:val="nb-NO"/>
      </w:rPr>
      <w:t xml:space="preserve">L. E. </w:t>
    </w:r>
    <w:r w:rsidR="0007440E" w:rsidRPr="0030611E">
      <w:rPr>
        <w:i/>
        <w:lang w:val="nb-NO"/>
      </w:rPr>
      <w:t>Andersson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A" w14:textId="46DDB003" w:rsidR="00DD3D9E" w:rsidRDefault="00875904">
    <w:pPr>
      <w:pStyle w:val="Intestazione"/>
      <w:tabs>
        <w:tab w:val="clear" w:pos="7200"/>
        <w:tab w:val="right" w:pos="7088"/>
      </w:tabs>
      <w:jc w:val="right"/>
      <w:rPr>
        <w:sz w:val="24"/>
      </w:rPr>
    </w:pPr>
    <w:r w:rsidRPr="00875904">
      <w:rPr>
        <w:i/>
      </w:rPr>
      <w:t>Estimation of long-term power demand of oil and gas installations using hybrid models</w:t>
    </w:r>
    <w:r w:rsidR="00DD3D9E">
      <w:rPr>
        <w:rStyle w:val="Numeropagina"/>
        <w:i/>
        <w:sz w:val="24"/>
      </w:rPr>
      <w:tab/>
    </w:r>
    <w:r w:rsidR="00DD3D9E">
      <w:rPr>
        <w:rStyle w:val="Numeropagina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2269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1A42"/>
    <w:rsid w:val="000061EF"/>
    <w:rsid w:val="00015DB0"/>
    <w:rsid w:val="0001737A"/>
    <w:rsid w:val="000218F6"/>
    <w:rsid w:val="00023A77"/>
    <w:rsid w:val="00024561"/>
    <w:rsid w:val="000278AD"/>
    <w:rsid w:val="00032816"/>
    <w:rsid w:val="00032FD8"/>
    <w:rsid w:val="00044102"/>
    <w:rsid w:val="000526E0"/>
    <w:rsid w:val="00054746"/>
    <w:rsid w:val="00065F3D"/>
    <w:rsid w:val="0006644C"/>
    <w:rsid w:val="00070177"/>
    <w:rsid w:val="0007179C"/>
    <w:rsid w:val="000731A2"/>
    <w:rsid w:val="0007440E"/>
    <w:rsid w:val="0007729F"/>
    <w:rsid w:val="000776C7"/>
    <w:rsid w:val="00082CA0"/>
    <w:rsid w:val="00095AD3"/>
    <w:rsid w:val="00096F20"/>
    <w:rsid w:val="000A128A"/>
    <w:rsid w:val="000A47D6"/>
    <w:rsid w:val="000B74B5"/>
    <w:rsid w:val="000C14A1"/>
    <w:rsid w:val="000C4809"/>
    <w:rsid w:val="000D0C89"/>
    <w:rsid w:val="000D14E4"/>
    <w:rsid w:val="000D169C"/>
    <w:rsid w:val="000D3D9B"/>
    <w:rsid w:val="000D47ED"/>
    <w:rsid w:val="000E026B"/>
    <w:rsid w:val="000E4D20"/>
    <w:rsid w:val="000E63F1"/>
    <w:rsid w:val="000E6E52"/>
    <w:rsid w:val="000F3A58"/>
    <w:rsid w:val="001060CD"/>
    <w:rsid w:val="001062C7"/>
    <w:rsid w:val="001067C4"/>
    <w:rsid w:val="00107674"/>
    <w:rsid w:val="00113B78"/>
    <w:rsid w:val="00117616"/>
    <w:rsid w:val="00121780"/>
    <w:rsid w:val="001248D9"/>
    <w:rsid w:val="0012491A"/>
    <w:rsid w:val="00131DAC"/>
    <w:rsid w:val="001321FB"/>
    <w:rsid w:val="001342EA"/>
    <w:rsid w:val="00134948"/>
    <w:rsid w:val="001376B6"/>
    <w:rsid w:val="00142D62"/>
    <w:rsid w:val="001444BF"/>
    <w:rsid w:val="00145B1F"/>
    <w:rsid w:val="001502BB"/>
    <w:rsid w:val="0016032F"/>
    <w:rsid w:val="00160E50"/>
    <w:rsid w:val="00163474"/>
    <w:rsid w:val="001649E9"/>
    <w:rsid w:val="00175F3D"/>
    <w:rsid w:val="00177040"/>
    <w:rsid w:val="00177459"/>
    <w:rsid w:val="00177FB7"/>
    <w:rsid w:val="00182CDF"/>
    <w:rsid w:val="00183081"/>
    <w:rsid w:val="00183B9D"/>
    <w:rsid w:val="001845BA"/>
    <w:rsid w:val="001879F6"/>
    <w:rsid w:val="00196A57"/>
    <w:rsid w:val="001A0F01"/>
    <w:rsid w:val="001A3F7F"/>
    <w:rsid w:val="001A6532"/>
    <w:rsid w:val="001B280E"/>
    <w:rsid w:val="001B4409"/>
    <w:rsid w:val="001C0148"/>
    <w:rsid w:val="001C09A7"/>
    <w:rsid w:val="001C0CF5"/>
    <w:rsid w:val="001C1123"/>
    <w:rsid w:val="001C757E"/>
    <w:rsid w:val="001C7F2B"/>
    <w:rsid w:val="001E145D"/>
    <w:rsid w:val="001E4E2D"/>
    <w:rsid w:val="001E7CC1"/>
    <w:rsid w:val="001F0280"/>
    <w:rsid w:val="001F1FD9"/>
    <w:rsid w:val="001F373D"/>
    <w:rsid w:val="001F4816"/>
    <w:rsid w:val="001F5E9D"/>
    <w:rsid w:val="001F62CC"/>
    <w:rsid w:val="00202F71"/>
    <w:rsid w:val="0020390F"/>
    <w:rsid w:val="002051BD"/>
    <w:rsid w:val="00213323"/>
    <w:rsid w:val="002148D1"/>
    <w:rsid w:val="00223364"/>
    <w:rsid w:val="002400B5"/>
    <w:rsid w:val="00243FD0"/>
    <w:rsid w:val="0024438A"/>
    <w:rsid w:val="00245E73"/>
    <w:rsid w:val="002508FF"/>
    <w:rsid w:val="0025262E"/>
    <w:rsid w:val="00257F63"/>
    <w:rsid w:val="00264018"/>
    <w:rsid w:val="00264926"/>
    <w:rsid w:val="00265EC5"/>
    <w:rsid w:val="00273D76"/>
    <w:rsid w:val="0027412F"/>
    <w:rsid w:val="00280F1F"/>
    <w:rsid w:val="00285CD4"/>
    <w:rsid w:val="00287E4E"/>
    <w:rsid w:val="00287FDB"/>
    <w:rsid w:val="002907D8"/>
    <w:rsid w:val="00296320"/>
    <w:rsid w:val="002A262A"/>
    <w:rsid w:val="002A7A5E"/>
    <w:rsid w:val="002B10EF"/>
    <w:rsid w:val="002B13A3"/>
    <w:rsid w:val="002B4EF1"/>
    <w:rsid w:val="002B5BB4"/>
    <w:rsid w:val="002B7921"/>
    <w:rsid w:val="002C21D3"/>
    <w:rsid w:val="002C5511"/>
    <w:rsid w:val="002D1794"/>
    <w:rsid w:val="002D25D4"/>
    <w:rsid w:val="002E3A7F"/>
    <w:rsid w:val="002E5DE7"/>
    <w:rsid w:val="002F2774"/>
    <w:rsid w:val="002F59D1"/>
    <w:rsid w:val="003059A8"/>
    <w:rsid w:val="0030611E"/>
    <w:rsid w:val="0031692E"/>
    <w:rsid w:val="0032079E"/>
    <w:rsid w:val="00327C4E"/>
    <w:rsid w:val="00330314"/>
    <w:rsid w:val="00333485"/>
    <w:rsid w:val="00334CD7"/>
    <w:rsid w:val="0034692D"/>
    <w:rsid w:val="00351196"/>
    <w:rsid w:val="003558A1"/>
    <w:rsid w:val="00355DEB"/>
    <w:rsid w:val="0036694F"/>
    <w:rsid w:val="00367036"/>
    <w:rsid w:val="0037691C"/>
    <w:rsid w:val="003769C5"/>
    <w:rsid w:val="0037799E"/>
    <w:rsid w:val="00380C55"/>
    <w:rsid w:val="00382A68"/>
    <w:rsid w:val="003875F7"/>
    <w:rsid w:val="00392AB6"/>
    <w:rsid w:val="003A0ED4"/>
    <w:rsid w:val="003A221B"/>
    <w:rsid w:val="003A2ECB"/>
    <w:rsid w:val="003A4C38"/>
    <w:rsid w:val="003B5EC8"/>
    <w:rsid w:val="003C0F98"/>
    <w:rsid w:val="003C2689"/>
    <w:rsid w:val="003C5B8C"/>
    <w:rsid w:val="003D1582"/>
    <w:rsid w:val="003D4D2F"/>
    <w:rsid w:val="003D7BA2"/>
    <w:rsid w:val="003D7E4C"/>
    <w:rsid w:val="003E41C2"/>
    <w:rsid w:val="003F0C57"/>
    <w:rsid w:val="003F292F"/>
    <w:rsid w:val="003F6EF4"/>
    <w:rsid w:val="00401916"/>
    <w:rsid w:val="00402186"/>
    <w:rsid w:val="00402D8D"/>
    <w:rsid w:val="00404086"/>
    <w:rsid w:val="004045AD"/>
    <w:rsid w:val="00407DBC"/>
    <w:rsid w:val="00411757"/>
    <w:rsid w:val="0041300B"/>
    <w:rsid w:val="004157F8"/>
    <w:rsid w:val="00436DB0"/>
    <w:rsid w:val="00437666"/>
    <w:rsid w:val="00440E79"/>
    <w:rsid w:val="004443E6"/>
    <w:rsid w:val="00460D8D"/>
    <w:rsid w:val="00461842"/>
    <w:rsid w:val="00463C99"/>
    <w:rsid w:val="0046426E"/>
    <w:rsid w:val="004750F1"/>
    <w:rsid w:val="00475798"/>
    <w:rsid w:val="00481999"/>
    <w:rsid w:val="00483518"/>
    <w:rsid w:val="00495717"/>
    <w:rsid w:val="0049772C"/>
    <w:rsid w:val="0049787F"/>
    <w:rsid w:val="004A04B5"/>
    <w:rsid w:val="004A0608"/>
    <w:rsid w:val="004B3BB9"/>
    <w:rsid w:val="004C2E24"/>
    <w:rsid w:val="004D2D1B"/>
    <w:rsid w:val="004D6A04"/>
    <w:rsid w:val="004D6C53"/>
    <w:rsid w:val="004E09FD"/>
    <w:rsid w:val="004E1BCD"/>
    <w:rsid w:val="004E37E8"/>
    <w:rsid w:val="004E5007"/>
    <w:rsid w:val="004E7D00"/>
    <w:rsid w:val="004F1751"/>
    <w:rsid w:val="00501639"/>
    <w:rsid w:val="00502B10"/>
    <w:rsid w:val="00505AB5"/>
    <w:rsid w:val="00511511"/>
    <w:rsid w:val="0051334A"/>
    <w:rsid w:val="005135D0"/>
    <w:rsid w:val="00513C87"/>
    <w:rsid w:val="00515738"/>
    <w:rsid w:val="00516E21"/>
    <w:rsid w:val="00516FA2"/>
    <w:rsid w:val="005212A1"/>
    <w:rsid w:val="00525331"/>
    <w:rsid w:val="0052539A"/>
    <w:rsid w:val="0053138A"/>
    <w:rsid w:val="00532DB0"/>
    <w:rsid w:val="0053745B"/>
    <w:rsid w:val="00544479"/>
    <w:rsid w:val="00547FBC"/>
    <w:rsid w:val="00552EA9"/>
    <w:rsid w:val="00552EEB"/>
    <w:rsid w:val="00554D3E"/>
    <w:rsid w:val="00561C34"/>
    <w:rsid w:val="00562245"/>
    <w:rsid w:val="0056465E"/>
    <w:rsid w:val="00566D6E"/>
    <w:rsid w:val="005700E1"/>
    <w:rsid w:val="005706A9"/>
    <w:rsid w:val="0057167E"/>
    <w:rsid w:val="00571FFD"/>
    <w:rsid w:val="00581212"/>
    <w:rsid w:val="00584EDC"/>
    <w:rsid w:val="0058687A"/>
    <w:rsid w:val="005869EE"/>
    <w:rsid w:val="005B3786"/>
    <w:rsid w:val="005B48F8"/>
    <w:rsid w:val="005D7137"/>
    <w:rsid w:val="005E135E"/>
    <w:rsid w:val="005E3730"/>
    <w:rsid w:val="005E7CBE"/>
    <w:rsid w:val="005F2875"/>
    <w:rsid w:val="005F335B"/>
    <w:rsid w:val="00602AD9"/>
    <w:rsid w:val="00602F20"/>
    <w:rsid w:val="006076B2"/>
    <w:rsid w:val="006122DB"/>
    <w:rsid w:val="00612366"/>
    <w:rsid w:val="006137D0"/>
    <w:rsid w:val="006148C5"/>
    <w:rsid w:val="00620C83"/>
    <w:rsid w:val="00625182"/>
    <w:rsid w:val="006257F8"/>
    <w:rsid w:val="00627981"/>
    <w:rsid w:val="006301D5"/>
    <w:rsid w:val="0063111B"/>
    <w:rsid w:val="006346E0"/>
    <w:rsid w:val="00634842"/>
    <w:rsid w:val="006403AC"/>
    <w:rsid w:val="00655568"/>
    <w:rsid w:val="00655F64"/>
    <w:rsid w:val="00657E41"/>
    <w:rsid w:val="00661456"/>
    <w:rsid w:val="006642DB"/>
    <w:rsid w:val="006653EF"/>
    <w:rsid w:val="00673EE5"/>
    <w:rsid w:val="00676D8E"/>
    <w:rsid w:val="006907ED"/>
    <w:rsid w:val="00691C2D"/>
    <w:rsid w:val="00693300"/>
    <w:rsid w:val="0069417E"/>
    <w:rsid w:val="006A1501"/>
    <w:rsid w:val="006A2E48"/>
    <w:rsid w:val="006A5CFA"/>
    <w:rsid w:val="006A69BF"/>
    <w:rsid w:val="006B51E4"/>
    <w:rsid w:val="006B68BC"/>
    <w:rsid w:val="006D0508"/>
    <w:rsid w:val="006D0E68"/>
    <w:rsid w:val="006E356D"/>
    <w:rsid w:val="006E3897"/>
    <w:rsid w:val="006E3CC4"/>
    <w:rsid w:val="006E410D"/>
    <w:rsid w:val="006F21D4"/>
    <w:rsid w:val="006F383B"/>
    <w:rsid w:val="006F570B"/>
    <w:rsid w:val="00705257"/>
    <w:rsid w:val="0070775F"/>
    <w:rsid w:val="00710900"/>
    <w:rsid w:val="00711DF4"/>
    <w:rsid w:val="0071285C"/>
    <w:rsid w:val="00724241"/>
    <w:rsid w:val="007318F5"/>
    <w:rsid w:val="00731A05"/>
    <w:rsid w:val="0073303F"/>
    <w:rsid w:val="00733A9D"/>
    <w:rsid w:val="00735877"/>
    <w:rsid w:val="00736297"/>
    <w:rsid w:val="00737A70"/>
    <w:rsid w:val="00743988"/>
    <w:rsid w:val="0075016B"/>
    <w:rsid w:val="00752E2C"/>
    <w:rsid w:val="00762BC6"/>
    <w:rsid w:val="00774224"/>
    <w:rsid w:val="007816F7"/>
    <w:rsid w:val="00785478"/>
    <w:rsid w:val="00791ED8"/>
    <w:rsid w:val="007950BC"/>
    <w:rsid w:val="00796177"/>
    <w:rsid w:val="007A369A"/>
    <w:rsid w:val="007A4143"/>
    <w:rsid w:val="007B05D6"/>
    <w:rsid w:val="007B4C52"/>
    <w:rsid w:val="007C69E0"/>
    <w:rsid w:val="007D1126"/>
    <w:rsid w:val="007D1F20"/>
    <w:rsid w:val="007D70A1"/>
    <w:rsid w:val="007E01E0"/>
    <w:rsid w:val="007E5423"/>
    <w:rsid w:val="007E68F8"/>
    <w:rsid w:val="007E7FF0"/>
    <w:rsid w:val="007F0D28"/>
    <w:rsid w:val="007F5FFE"/>
    <w:rsid w:val="00802183"/>
    <w:rsid w:val="0080517F"/>
    <w:rsid w:val="00806562"/>
    <w:rsid w:val="00807B69"/>
    <w:rsid w:val="008132E8"/>
    <w:rsid w:val="008203DB"/>
    <w:rsid w:val="00823407"/>
    <w:rsid w:val="00824F17"/>
    <w:rsid w:val="008255E4"/>
    <w:rsid w:val="00827877"/>
    <w:rsid w:val="00830C15"/>
    <w:rsid w:val="00842731"/>
    <w:rsid w:val="00845CB9"/>
    <w:rsid w:val="00854243"/>
    <w:rsid w:val="008555B4"/>
    <w:rsid w:val="008563A8"/>
    <w:rsid w:val="008613CD"/>
    <w:rsid w:val="00864116"/>
    <w:rsid w:val="00867921"/>
    <w:rsid w:val="00871CD7"/>
    <w:rsid w:val="00874963"/>
    <w:rsid w:val="00875904"/>
    <w:rsid w:val="008765DF"/>
    <w:rsid w:val="008804E9"/>
    <w:rsid w:val="00883056"/>
    <w:rsid w:val="008832CC"/>
    <w:rsid w:val="008834FB"/>
    <w:rsid w:val="0088562C"/>
    <w:rsid w:val="00893996"/>
    <w:rsid w:val="00894E16"/>
    <w:rsid w:val="008A3B7F"/>
    <w:rsid w:val="008A717D"/>
    <w:rsid w:val="008B0184"/>
    <w:rsid w:val="008B1CEC"/>
    <w:rsid w:val="008B5800"/>
    <w:rsid w:val="008B6459"/>
    <w:rsid w:val="008B770D"/>
    <w:rsid w:val="008B7814"/>
    <w:rsid w:val="008C386D"/>
    <w:rsid w:val="008C3D3D"/>
    <w:rsid w:val="008C5D02"/>
    <w:rsid w:val="008C6DFB"/>
    <w:rsid w:val="008D2649"/>
    <w:rsid w:val="008D4057"/>
    <w:rsid w:val="008E397C"/>
    <w:rsid w:val="008E3F64"/>
    <w:rsid w:val="008E60EA"/>
    <w:rsid w:val="008F2770"/>
    <w:rsid w:val="008F5DA8"/>
    <w:rsid w:val="0090568D"/>
    <w:rsid w:val="00910F8F"/>
    <w:rsid w:val="009115CD"/>
    <w:rsid w:val="009125C9"/>
    <w:rsid w:val="00913069"/>
    <w:rsid w:val="00913879"/>
    <w:rsid w:val="00917000"/>
    <w:rsid w:val="00917661"/>
    <w:rsid w:val="0092264B"/>
    <w:rsid w:val="0092323C"/>
    <w:rsid w:val="00955980"/>
    <w:rsid w:val="00963511"/>
    <w:rsid w:val="009650DB"/>
    <w:rsid w:val="00970E5D"/>
    <w:rsid w:val="0097701C"/>
    <w:rsid w:val="00977667"/>
    <w:rsid w:val="00977EBB"/>
    <w:rsid w:val="00980A65"/>
    <w:rsid w:val="009936E0"/>
    <w:rsid w:val="009A104D"/>
    <w:rsid w:val="009A55E4"/>
    <w:rsid w:val="009B11B7"/>
    <w:rsid w:val="009D7794"/>
    <w:rsid w:val="009E63D4"/>
    <w:rsid w:val="009E6A0D"/>
    <w:rsid w:val="009F0F70"/>
    <w:rsid w:val="009F1E4A"/>
    <w:rsid w:val="009F6EDB"/>
    <w:rsid w:val="009F7F30"/>
    <w:rsid w:val="00A00888"/>
    <w:rsid w:val="00A00BB1"/>
    <w:rsid w:val="00A05044"/>
    <w:rsid w:val="00A10EA9"/>
    <w:rsid w:val="00A120F8"/>
    <w:rsid w:val="00A15A99"/>
    <w:rsid w:val="00A220E7"/>
    <w:rsid w:val="00A25E70"/>
    <w:rsid w:val="00A271BD"/>
    <w:rsid w:val="00A31466"/>
    <w:rsid w:val="00A33765"/>
    <w:rsid w:val="00A35160"/>
    <w:rsid w:val="00A44895"/>
    <w:rsid w:val="00A5165A"/>
    <w:rsid w:val="00A51ACD"/>
    <w:rsid w:val="00A568B1"/>
    <w:rsid w:val="00A57329"/>
    <w:rsid w:val="00A62574"/>
    <w:rsid w:val="00A63269"/>
    <w:rsid w:val="00A6466B"/>
    <w:rsid w:val="00A67F5B"/>
    <w:rsid w:val="00A72C56"/>
    <w:rsid w:val="00A74F6E"/>
    <w:rsid w:val="00A75D2F"/>
    <w:rsid w:val="00A80352"/>
    <w:rsid w:val="00A83C38"/>
    <w:rsid w:val="00A92377"/>
    <w:rsid w:val="00A92421"/>
    <w:rsid w:val="00A952F2"/>
    <w:rsid w:val="00AB1310"/>
    <w:rsid w:val="00AB2284"/>
    <w:rsid w:val="00AB29ED"/>
    <w:rsid w:val="00AB7D6E"/>
    <w:rsid w:val="00AC351B"/>
    <w:rsid w:val="00AD3026"/>
    <w:rsid w:val="00AD3229"/>
    <w:rsid w:val="00AE04C0"/>
    <w:rsid w:val="00AE4BD8"/>
    <w:rsid w:val="00AE6147"/>
    <w:rsid w:val="00AF0596"/>
    <w:rsid w:val="00AF3A92"/>
    <w:rsid w:val="00B07976"/>
    <w:rsid w:val="00B11C03"/>
    <w:rsid w:val="00B14693"/>
    <w:rsid w:val="00B1556D"/>
    <w:rsid w:val="00B225C7"/>
    <w:rsid w:val="00B25101"/>
    <w:rsid w:val="00B37731"/>
    <w:rsid w:val="00B37A54"/>
    <w:rsid w:val="00B4034D"/>
    <w:rsid w:val="00B4388F"/>
    <w:rsid w:val="00B4468B"/>
    <w:rsid w:val="00B452A0"/>
    <w:rsid w:val="00B45D1E"/>
    <w:rsid w:val="00B46E26"/>
    <w:rsid w:val="00B603E8"/>
    <w:rsid w:val="00B63237"/>
    <w:rsid w:val="00B63DA3"/>
    <w:rsid w:val="00B646E1"/>
    <w:rsid w:val="00B72520"/>
    <w:rsid w:val="00B75FC5"/>
    <w:rsid w:val="00B774E2"/>
    <w:rsid w:val="00B92CAE"/>
    <w:rsid w:val="00BA0E47"/>
    <w:rsid w:val="00BC5C79"/>
    <w:rsid w:val="00BC781C"/>
    <w:rsid w:val="00BD1328"/>
    <w:rsid w:val="00BD39FA"/>
    <w:rsid w:val="00BD5BC1"/>
    <w:rsid w:val="00BE5236"/>
    <w:rsid w:val="00BE544C"/>
    <w:rsid w:val="00BE5893"/>
    <w:rsid w:val="00BF1C4E"/>
    <w:rsid w:val="00BF3564"/>
    <w:rsid w:val="00C043B8"/>
    <w:rsid w:val="00C12AA0"/>
    <w:rsid w:val="00C1493F"/>
    <w:rsid w:val="00C21F60"/>
    <w:rsid w:val="00C24E42"/>
    <w:rsid w:val="00C30FEA"/>
    <w:rsid w:val="00C335D9"/>
    <w:rsid w:val="00C33A0B"/>
    <w:rsid w:val="00C42BC3"/>
    <w:rsid w:val="00C436D3"/>
    <w:rsid w:val="00C54B57"/>
    <w:rsid w:val="00C62073"/>
    <w:rsid w:val="00C715B0"/>
    <w:rsid w:val="00C767F9"/>
    <w:rsid w:val="00C8128C"/>
    <w:rsid w:val="00C83A27"/>
    <w:rsid w:val="00C84167"/>
    <w:rsid w:val="00C84C29"/>
    <w:rsid w:val="00C90B34"/>
    <w:rsid w:val="00C93A08"/>
    <w:rsid w:val="00C960DC"/>
    <w:rsid w:val="00CA5F2F"/>
    <w:rsid w:val="00CC0066"/>
    <w:rsid w:val="00CC16EB"/>
    <w:rsid w:val="00CC50FF"/>
    <w:rsid w:val="00CC6935"/>
    <w:rsid w:val="00CD30E5"/>
    <w:rsid w:val="00CD4249"/>
    <w:rsid w:val="00CD4A08"/>
    <w:rsid w:val="00CE20AE"/>
    <w:rsid w:val="00CE3A6D"/>
    <w:rsid w:val="00CF05DA"/>
    <w:rsid w:val="00CF1010"/>
    <w:rsid w:val="00CF1147"/>
    <w:rsid w:val="00CF3014"/>
    <w:rsid w:val="00D01C6D"/>
    <w:rsid w:val="00D02C75"/>
    <w:rsid w:val="00D05652"/>
    <w:rsid w:val="00D071B1"/>
    <w:rsid w:val="00D10E22"/>
    <w:rsid w:val="00D13D2C"/>
    <w:rsid w:val="00D16FC7"/>
    <w:rsid w:val="00D21386"/>
    <w:rsid w:val="00D216C0"/>
    <w:rsid w:val="00D21F78"/>
    <w:rsid w:val="00D2201B"/>
    <w:rsid w:val="00D2381D"/>
    <w:rsid w:val="00D26C13"/>
    <w:rsid w:val="00D3743B"/>
    <w:rsid w:val="00D41026"/>
    <w:rsid w:val="00D42A09"/>
    <w:rsid w:val="00D46C86"/>
    <w:rsid w:val="00D46E31"/>
    <w:rsid w:val="00D50B07"/>
    <w:rsid w:val="00D65874"/>
    <w:rsid w:val="00D67418"/>
    <w:rsid w:val="00D7401C"/>
    <w:rsid w:val="00D77ACE"/>
    <w:rsid w:val="00D82671"/>
    <w:rsid w:val="00D90284"/>
    <w:rsid w:val="00D91B11"/>
    <w:rsid w:val="00D9220F"/>
    <w:rsid w:val="00DA145B"/>
    <w:rsid w:val="00DA1529"/>
    <w:rsid w:val="00DA441C"/>
    <w:rsid w:val="00DB5373"/>
    <w:rsid w:val="00DC1650"/>
    <w:rsid w:val="00DC1E7C"/>
    <w:rsid w:val="00DC2F94"/>
    <w:rsid w:val="00DC3792"/>
    <w:rsid w:val="00DC3A13"/>
    <w:rsid w:val="00DC65E9"/>
    <w:rsid w:val="00DD0B61"/>
    <w:rsid w:val="00DD3D9E"/>
    <w:rsid w:val="00DD5EAE"/>
    <w:rsid w:val="00DD7908"/>
    <w:rsid w:val="00DE0A7C"/>
    <w:rsid w:val="00DF3E7D"/>
    <w:rsid w:val="00E0334B"/>
    <w:rsid w:val="00E2106F"/>
    <w:rsid w:val="00E3629B"/>
    <w:rsid w:val="00E368EB"/>
    <w:rsid w:val="00E46049"/>
    <w:rsid w:val="00E505DB"/>
    <w:rsid w:val="00E56C8A"/>
    <w:rsid w:val="00E60D8B"/>
    <w:rsid w:val="00E643A5"/>
    <w:rsid w:val="00E66FB9"/>
    <w:rsid w:val="00E72404"/>
    <w:rsid w:val="00E754C1"/>
    <w:rsid w:val="00E75853"/>
    <w:rsid w:val="00E8007C"/>
    <w:rsid w:val="00E82297"/>
    <w:rsid w:val="00E84F11"/>
    <w:rsid w:val="00E850F6"/>
    <w:rsid w:val="00E8611D"/>
    <w:rsid w:val="00E902C5"/>
    <w:rsid w:val="00E9164A"/>
    <w:rsid w:val="00E95A31"/>
    <w:rsid w:val="00E968A9"/>
    <w:rsid w:val="00EA4953"/>
    <w:rsid w:val="00EA5FD4"/>
    <w:rsid w:val="00EB1631"/>
    <w:rsid w:val="00EB5D83"/>
    <w:rsid w:val="00EC04FF"/>
    <w:rsid w:val="00EC0CAB"/>
    <w:rsid w:val="00EC45AE"/>
    <w:rsid w:val="00EC46D9"/>
    <w:rsid w:val="00EC4F58"/>
    <w:rsid w:val="00EC5F2B"/>
    <w:rsid w:val="00EC78A1"/>
    <w:rsid w:val="00ED6E67"/>
    <w:rsid w:val="00EE3432"/>
    <w:rsid w:val="00EE387C"/>
    <w:rsid w:val="00EE3F68"/>
    <w:rsid w:val="00EF0F5C"/>
    <w:rsid w:val="00EF17B3"/>
    <w:rsid w:val="00EF39FD"/>
    <w:rsid w:val="00EF6FF2"/>
    <w:rsid w:val="00F00DBF"/>
    <w:rsid w:val="00F02561"/>
    <w:rsid w:val="00F031FB"/>
    <w:rsid w:val="00F0674A"/>
    <w:rsid w:val="00F06842"/>
    <w:rsid w:val="00F07503"/>
    <w:rsid w:val="00F107FD"/>
    <w:rsid w:val="00F10BAC"/>
    <w:rsid w:val="00F1129F"/>
    <w:rsid w:val="00F11A45"/>
    <w:rsid w:val="00F15B45"/>
    <w:rsid w:val="00F21D87"/>
    <w:rsid w:val="00F27A87"/>
    <w:rsid w:val="00F33AC4"/>
    <w:rsid w:val="00F34801"/>
    <w:rsid w:val="00F50A7F"/>
    <w:rsid w:val="00F562B4"/>
    <w:rsid w:val="00F67B27"/>
    <w:rsid w:val="00F71172"/>
    <w:rsid w:val="00F77383"/>
    <w:rsid w:val="00F80B6B"/>
    <w:rsid w:val="00F903AF"/>
    <w:rsid w:val="00F91F31"/>
    <w:rsid w:val="00F92B21"/>
    <w:rsid w:val="00F95711"/>
    <w:rsid w:val="00FA2C2A"/>
    <w:rsid w:val="00FA4F6B"/>
    <w:rsid w:val="00FA5F73"/>
    <w:rsid w:val="00FB1113"/>
    <w:rsid w:val="00FB304B"/>
    <w:rsid w:val="00FB64A8"/>
    <w:rsid w:val="00FF3C45"/>
    <w:rsid w:val="00FF40C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4DE67F"/>
  <w15:docId w15:val="{F24E2DDC-8003-420F-B883-F7F1B744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B0184"/>
    <w:rPr>
      <w:lang w:eastAsia="en-US"/>
    </w:rPr>
  </w:style>
  <w:style w:type="paragraph" w:styleId="Titolo3">
    <w:name w:val="heading 3"/>
    <w:basedOn w:val="Normale"/>
    <w:next w:val="Normale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  <w:ind w:left="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Rimandonotadichiusura">
    <w:name w:val="endnote reference"/>
    <w:basedOn w:val="Carpredefinitoparagrafo"/>
    <w:semiHidden/>
    <w:rsid w:val="008B0184"/>
    <w:rPr>
      <w:vertAlign w:val="superscript"/>
    </w:rPr>
  </w:style>
  <w:style w:type="paragraph" w:styleId="Intestazione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Pidipagina">
    <w:name w:val="footer"/>
    <w:basedOn w:val="Intestazione"/>
    <w:rsid w:val="008B0184"/>
  </w:style>
  <w:style w:type="character" w:styleId="Rimandonotaapidipagina">
    <w:name w:val="footnote reference"/>
    <w:semiHidden/>
    <w:rsid w:val="008B0184"/>
    <w:rPr>
      <w:vertAlign w:val="superscript"/>
    </w:rPr>
  </w:style>
  <w:style w:type="paragraph" w:styleId="Testonotaapidipagina">
    <w:name w:val="footnote text"/>
    <w:basedOn w:val="Normale"/>
    <w:semiHidden/>
    <w:rsid w:val="008B0184"/>
    <w:rPr>
      <w:rFonts w:ascii="Univers" w:hAnsi="Univers"/>
    </w:rPr>
  </w:style>
  <w:style w:type="character" w:styleId="Collegamentoipertestuale">
    <w:name w:val="Hyperlink"/>
    <w:basedOn w:val="Carpredefinitoparagrafo"/>
    <w:rsid w:val="008B0184"/>
    <w:rPr>
      <w:color w:val="0000FF"/>
      <w:u w:val="single"/>
    </w:rPr>
  </w:style>
  <w:style w:type="character" w:customStyle="1" w:styleId="MTEquationSection">
    <w:name w:val="MTEquationSection"/>
    <w:basedOn w:val="Carpredefinitoparagrafo"/>
    <w:rsid w:val="008B0184"/>
    <w:rPr>
      <w:vanish/>
      <w:color w:val="FF0000"/>
    </w:rPr>
  </w:style>
  <w:style w:type="character" w:styleId="Numeropagina">
    <w:name w:val="page number"/>
    <w:basedOn w:val="Carpredefinitoparagrafo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Carpredefinitoparagrafo"/>
    <w:rsid w:val="008B0184"/>
    <w:rPr>
      <w:sz w:val="18"/>
      <w:lang w:val="en-US" w:eastAsia="en-US" w:bidi="ar-SA"/>
    </w:rPr>
  </w:style>
  <w:style w:type="character" w:styleId="Rimandocommento">
    <w:name w:val="annotation reference"/>
    <w:basedOn w:val="Carpredefinitoparagrafo"/>
    <w:semiHidden/>
    <w:rsid w:val="008B0184"/>
    <w:rPr>
      <w:sz w:val="16"/>
      <w:szCs w:val="16"/>
    </w:rPr>
  </w:style>
  <w:style w:type="paragraph" w:styleId="Testocommento">
    <w:name w:val="annotation text"/>
    <w:basedOn w:val="Normale"/>
    <w:semiHidden/>
    <w:rsid w:val="008B0184"/>
  </w:style>
  <w:style w:type="paragraph" w:styleId="Soggettocommento">
    <w:name w:val="annotation subject"/>
    <w:basedOn w:val="Testocommento"/>
    <w:next w:val="Testocommento"/>
    <w:semiHidden/>
    <w:rsid w:val="008B0184"/>
    <w:rPr>
      <w:b/>
      <w:bCs/>
    </w:rPr>
  </w:style>
  <w:style w:type="paragraph" w:styleId="Testofumetto">
    <w:name w:val="Balloon Text"/>
    <w:basedOn w:val="Normale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Carpredefinitoparagrafo"/>
    <w:rsid w:val="00F06842"/>
    <w:rPr>
      <w:u w:val="single"/>
    </w:rPr>
  </w:style>
  <w:style w:type="paragraph" w:customStyle="1" w:styleId="ElsevierBodyTextCentredNospace">
    <w:name w:val="Elsevier Body Text Centred No space"/>
    <w:basedOn w:val="Normale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table" w:styleId="Grigliatabella">
    <w:name w:val="Table Grid"/>
    <w:basedOn w:val="Tabellanormale"/>
    <w:rsid w:val="001A6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F6EF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483518"/>
    <w:rPr>
      <w:color w:val="666666"/>
    </w:rPr>
  </w:style>
  <w:style w:type="paragraph" w:styleId="Revisione">
    <w:name w:val="Revision"/>
    <w:hidden/>
    <w:uiPriority w:val="99"/>
    <w:semiHidden/>
    <w:rsid w:val="00001A42"/>
    <w:rPr>
      <w:lang w:eastAsia="en-US"/>
    </w:rPr>
  </w:style>
  <w:style w:type="character" w:styleId="Menzione">
    <w:name w:val="Mention"/>
    <w:basedOn w:val="Carpredefinitoparagrafo"/>
    <w:uiPriority w:val="99"/>
    <w:unhideWhenUsed/>
    <w:rsid w:val="000D47E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06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4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60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09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9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c document" ma:contentTypeID="0x01010031B82B69D2361148B4D8F7EC15680213080077AB15A58EDDB141AAEA46C9A235510F" ma:contentTypeVersion="51" ma:contentTypeDescription="Opprett et nytt dokument." ma:contentTypeScope="" ma:versionID="22417daf918366f24b1270af7aa7c29d">
  <xsd:schema xmlns:xsd="http://www.w3.org/2001/XMLSchema" xmlns:xs="http://www.w3.org/2001/XMLSchema" xmlns:p="http://schemas.microsoft.com/office/2006/metadata/properties" xmlns:ns2="8bbd4995-53b7-43e2-b62f-10947586ac31" xmlns:ns3="d8339ade-3401-439a-8edc-27936de33a76" xmlns:ns4="e527edd7-17bc-4acf-b8a8-3511175704a2" targetNamespace="http://schemas.microsoft.com/office/2006/metadata/properties" ma:root="true" ma:fieldsID="d6958282708d5d42d79b929906ecebe0" ns2:_="" ns3:_="" ns4:_="">
    <xsd:import namespace="8bbd4995-53b7-43e2-b62f-10947586ac31"/>
    <xsd:import namespace="d8339ade-3401-439a-8edc-27936de33a76"/>
    <xsd:import namespace="e527edd7-17bc-4acf-b8a8-3511175704a2"/>
    <xsd:element name="properties">
      <xsd:complexType>
        <xsd:sequence>
          <xsd:element name="documentManagement">
            <xsd:complexType>
              <xsd:all>
                <xsd:element ref="ns2:ArchiveStatus" minOccurs="0"/>
                <xsd:element ref="ns2:CorpWorkflowApproval" minOccurs="0"/>
                <xsd:element ref="ns2:CorpWorkflowFeedback" minOccurs="0"/>
                <xsd:element ref="ns2:CorpSiteProjectNumber" minOccurs="0"/>
                <xsd:element ref="ns2:CorpSiteProjectName" minOccurs="0"/>
                <xsd:element ref="ns2:CorpSiteSubTitle" minOccurs="0"/>
                <xsd:element ref="ns2:CorpSiteAccess" minOccurs="0"/>
                <xsd:element ref="ns2:CorpSiteClassification" minOccurs="0"/>
                <xsd:element ref="ns2:CorpSiteTags" minOccurs="0"/>
                <xsd:element ref="ns2:CorpSiteProjectQA" minOccurs="0"/>
                <xsd:element ref="ns2:CorpSiteProjectOwner" minOccurs="0"/>
                <xsd:element ref="ns2:CorpSiteProjectLeader" minOccurs="0"/>
                <xsd:element ref="ns2:CorpSiteReportNumber" minOccurs="0"/>
                <xsd:element ref="ns2:CorpSiteISBN" minOccurs="0"/>
                <xsd:element ref="ns2:CorpSiteCoAuthors" minOccurs="0"/>
                <xsd:element ref="ns2:CorpSiteRecipientCompany" minOccurs="0"/>
                <xsd:element ref="ns2:CorpSiteRecipientPerson" minOccurs="0"/>
                <xsd:element ref="ns2:CorpSiteOurRef" minOccurs="0"/>
                <xsd:element ref="ns2:CorpSiteDocumentAuthor" minOccurs="0"/>
                <xsd:element ref="ns2:CorpSiteZipAddress" minOccurs="0"/>
                <xsd:element ref="ns2:CorpSiteZipContact" minOccurs="0"/>
                <xsd:element ref="ns2:CorpSiteVATNumber" minOccurs="0"/>
                <xsd:element ref="ns2:CorpSiteInstitute" minOccurs="0"/>
                <xsd:element ref="ns2:CorpSiteInstituteEmail" minOccurs="0"/>
                <xsd:element ref="ns3:MediaServiceMetadata" minOccurs="0"/>
                <xsd:element ref="ns3:MediaServiceFastMetadata" minOccurs="0"/>
                <xsd:element ref="ns2:CorpDocPageClassificationNbNo" minOccurs="0"/>
                <xsd:element ref="ns2:CorpDocClassificationEnUs" minOccurs="0"/>
                <xsd:element ref="ns2:CorpDocPageClassificationEnUs" minOccurs="0"/>
                <xsd:element ref="ns2:CorpSiteInstituteEnUs" minOccurs="0"/>
                <xsd:element ref="ns2:CorpSiteInstitutePhone" minOccurs="0"/>
                <xsd:element ref="ns2:CorpSiteDocLanguage" minOccurs="0"/>
                <xsd:element ref="ns2:CorpDocInstitute" minOccurs="0"/>
                <xsd:element ref="ns4:SharedWithUsers" minOccurs="0"/>
                <xsd:element ref="ns4:SharedWithDetails" minOccurs="0"/>
                <xsd:element ref="ns2:CorpDocClassificationNbNo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CorpDocVersion" minOccurs="0"/>
                <xsd:element ref="ns3:ArchiveRecNo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2:CorpWorkflow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d4995-53b7-43e2-b62f-10947586ac31" elementFormDefault="qualified">
    <xsd:import namespace="http://schemas.microsoft.com/office/2006/documentManagement/types"/>
    <xsd:import namespace="http://schemas.microsoft.com/office/infopath/2007/PartnerControls"/>
    <xsd:element name="ArchiveStatus" ma:index="8" nillable="true" ma:displayName="Arkivstatus" ma:internalName="ArchiveStatus">
      <xsd:simpleType>
        <xsd:restriction base="dms:Text">
          <xsd:maxLength value="255"/>
        </xsd:restriction>
      </xsd:simpleType>
    </xsd:element>
    <xsd:element name="CorpWorkflowApproval" ma:index="9" nillable="true" ma:displayName="Status godkjenning" ma:internalName="CorpWorkflowApproval">
      <xsd:simpleType>
        <xsd:restriction base="dms:Text">
          <xsd:maxLength value="255"/>
        </xsd:restriction>
      </xsd:simpleType>
    </xsd:element>
    <xsd:element name="CorpWorkflowFeedback" ma:index="10" nillable="true" ma:displayName="Status kvalitetssikring" ma:internalName="CorpWorkflowFeedback">
      <xsd:simpleType>
        <xsd:restriction base="dms:Text">
          <xsd:maxLength value="255"/>
        </xsd:restriction>
      </xsd:simpleType>
    </xsd:element>
    <xsd:element name="CorpSiteProjectNumber" ma:index="11" nillable="true" ma:displayName="Prosjektnummer" ma:default="" ma:internalName="CorpSiteProjectNumber">
      <xsd:simpleType>
        <xsd:restriction base="dms:Text">
          <xsd:maxLength value="255"/>
        </xsd:restriction>
      </xsd:simpleType>
    </xsd:element>
    <xsd:element name="CorpSiteProjectName" ma:index="12" nillable="true" ma:displayName="Prosjektnavn" ma:internalName="CorpSiteProjectName">
      <xsd:simpleType>
        <xsd:restriction base="dms:Text">
          <xsd:maxLength value="255"/>
        </xsd:restriction>
      </xsd:simpleType>
    </xsd:element>
    <xsd:element name="CorpSiteSubTitle" ma:index="13" nillable="true" ma:displayName="Sub Tittel" ma:internalName="CorpSiteSubTitle">
      <xsd:simpleType>
        <xsd:restriction base="dms:Text">
          <xsd:maxLength value="255"/>
        </xsd:restriction>
      </xsd:simpleType>
    </xsd:element>
    <xsd:element name="CorpSiteAccess" ma:index="14" nillable="true" ma:displayName="Lesetilgang" ma:default="Kun navngitte medlemmer" ma:format="Dropdown" ma:internalName="CorpSiteAccess">
      <xsd:simpleType>
        <xsd:restriction base="dms:Choice">
          <xsd:enumeration value="Kun navngitte medlemmer"/>
          <xsd:enumeration value="SINTEF"/>
          <xsd:enumeration value="Institutt"/>
          <xsd:enumeration value="Avdeling"/>
          <xsd:maxLength value="255"/>
        </xsd:restriction>
      </xsd:simpleType>
    </xsd:element>
    <xsd:element name="CorpSiteClassification" ma:index="15" nillable="true" ma:displayName="Klassifisering" ma:default="Åpen" ma:internalName="CorpSiteClassification">
      <xsd:simpleType>
        <xsd:restriction base="dms:Choice">
          <xsd:enumeration value="Åpen"/>
          <xsd:enumeration value="Fortrolig"/>
          <xsd:enumeration value="Strengt fortrolig"/>
          <xsd:maxLength value="255"/>
        </xsd:restriction>
      </xsd:simpleType>
    </xsd:element>
    <xsd:element name="CorpSiteTags" ma:index="16" nillable="true" ma:displayName="Tags" ma:internalName="CorpSiteTags">
      <xsd:simpleType>
        <xsd:restriction base="dms:Text">
          <xsd:maxLength value="255"/>
        </xsd:restriction>
      </xsd:simpleType>
    </xsd:element>
    <xsd:element name="CorpSiteProjectQA" ma:index="17" nillable="true" ma:displayName="Kvalitestsansvarlig" ma:list="UserInfo" ma:SharePointGroup="0" ma:internalName="CorpSiteProjectQ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Owner" ma:index="18" nillable="true" ma:displayName="Prosjekteier" ma:list="UserInfo" ma:SharePointGroup="0" ma:internalName="CorpSiteProjec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ProjectLeader" ma:index="19" nillable="true" ma:displayName="Prosjektleder" ma:list="UserInfo" ma:SharePointGroup="0" ma:internalName="CorpSiteProjectLea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ReportNumber" ma:index="20" nillable="true" ma:displayName="Rapport nummer" ma:internalName="CorpSiteReportNumber">
      <xsd:simpleType>
        <xsd:restriction base="dms:Text">
          <xsd:maxLength value="255"/>
        </xsd:restriction>
      </xsd:simpleType>
    </xsd:element>
    <xsd:element name="CorpSiteISBN" ma:index="21" nillable="true" ma:displayName="ISBN" ma:internalName="CorpSiteISBN">
      <xsd:simpleType>
        <xsd:restriction base="dms:Text">
          <xsd:maxLength value="255"/>
        </xsd:restriction>
      </xsd:simpleType>
    </xsd:element>
    <xsd:element name="CorpSiteCoAuthors" ma:index="22" nillable="true" ma:displayName="Medforfattere" ma:internalName="CorpSiteCoAuthors">
      <xsd:simpleType>
        <xsd:restriction base="dms:Text">
          <xsd:maxLength value="255"/>
        </xsd:restriction>
      </xsd:simpleType>
    </xsd:element>
    <xsd:element name="CorpSiteRecipientCompany" ma:index="23" nillable="true" ma:displayName="Mottakende selskap" ma:internalName="CorpSiteRecipientCompany">
      <xsd:simpleType>
        <xsd:restriction base="dms:Text">
          <xsd:maxLength value="255"/>
        </xsd:restriction>
      </xsd:simpleType>
    </xsd:element>
    <xsd:element name="CorpSiteRecipientPerson" ma:index="24" nillable="true" ma:displayName="Mottakende person" ma:internalName="CorpSiteRecipientPerson">
      <xsd:simpleType>
        <xsd:restriction base="dms:Text">
          <xsd:maxLength value="255"/>
        </xsd:restriction>
      </xsd:simpleType>
    </xsd:element>
    <xsd:element name="CorpSiteOurRef" ma:index="25" nillable="true" ma:displayName="Vår ref" ma:internalName="CorpSiteOurRef">
      <xsd:simpleType>
        <xsd:restriction base="dms:Text">
          <xsd:maxLength value="255"/>
        </xsd:restriction>
      </xsd:simpleType>
    </xsd:element>
    <xsd:element name="CorpSiteDocumentAuthor" ma:index="26" nillable="true" ma:displayName="Hovedforfatter" ma:internalName="CorpSiteDocum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rpSiteZipAddress" ma:index="27" nillable="true" ma:displayName="Adresse" ma:internalName="CorpSiteZipAddress">
      <xsd:simpleType>
        <xsd:restriction base="dms:Note">
          <xsd:maxLength value="255"/>
        </xsd:restriction>
      </xsd:simpleType>
    </xsd:element>
    <xsd:element name="CorpSiteZipContact" ma:index="28" nillable="true" ma:displayName="Kontakt" ma:internalName="CorpSiteZipContact">
      <xsd:simpleType>
        <xsd:restriction base="dms:Note">
          <xsd:maxLength value="255"/>
        </xsd:restriction>
      </xsd:simpleType>
    </xsd:element>
    <xsd:element name="CorpSiteVATNumber" ma:index="29" nillable="true" ma:displayName="{resource:FieldCorpSiteVATNumber}" ma:internalName="CorpSiteVATNumber">
      <xsd:simpleType>
        <xsd:restriction base="dms:Text">
          <xsd:maxLength value="255"/>
        </xsd:restriction>
      </xsd:simpleType>
    </xsd:element>
    <xsd:element name="CorpSiteInstitute" ma:index="30" nillable="true" ma:displayName="Institutt" ma:internalName="CorpSiteInstitute">
      <xsd:simpleType>
        <xsd:restriction base="dms:Text">
          <xsd:maxLength value="255"/>
        </xsd:restriction>
      </xsd:simpleType>
    </xsd:element>
    <xsd:element name="CorpSiteInstituteEmail" ma:index="31" nillable="true" ma:displayName="E-post institutt" ma:internalName="CorpSiteInstituteEmail">
      <xsd:simpleType>
        <xsd:restriction base="dms:Text">
          <xsd:maxLength value="255"/>
        </xsd:restriction>
      </xsd:simpleType>
    </xsd:element>
    <xsd:element name="CorpDocPageClassificationNbNo" ma:index="34" nillable="true" ma:displayName="Gradering Denne Siden" ma:default="Åpen" ma:internalName="CorpDocPage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ClassificationEnUs" ma:index="35" nillable="true" ma:displayName="Classification" ma:default="Unrestricted" ma:internalName="CorpDoc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DocPageClassificationEnUs" ma:index="36" nillable="true" ma:displayName="Classification This Page" ma:default="Unrestricted" ma:internalName="CorpDocPageClassificationEnUs">
      <xsd:simpleType>
        <xsd:restriction base="dms:Choice">
          <xsd:enumeration value="Unrestricted"/>
          <xsd:enumeration value="Internal"/>
          <xsd:enumeration value="Restricted"/>
          <xsd:enumeration value="Confidential"/>
          <xsd:maxLength value="255"/>
        </xsd:restriction>
      </xsd:simpleType>
    </xsd:element>
    <xsd:element name="CorpSiteInstituteEnUs" ma:index="37" nillable="true" ma:displayName="InstituteEng" ma:internalName="CorpSiteInstituteEnUs">
      <xsd:simpleType>
        <xsd:restriction base="dms:Text">
          <xsd:maxLength value="255"/>
        </xsd:restriction>
      </xsd:simpleType>
    </xsd:element>
    <xsd:element name="CorpSiteInstitutePhone" ma:index="38" nillable="true" ma:displayName="Institutt tlf" ma:internalName="CorpSiteInstitutePhone">
      <xsd:simpleType>
        <xsd:restriction base="dms:Text">
          <xsd:maxLength value="255"/>
        </xsd:restriction>
      </xsd:simpleType>
    </xsd:element>
    <xsd:element name="CorpSiteDocLanguage" ma:index="39" nillable="true" ma:displayName="Språk" ma:internalName="CorpSiteDocLanguage">
      <xsd:simpleType>
        <xsd:restriction base="dms:Text">
          <xsd:maxLength value="255"/>
        </xsd:restriction>
      </xsd:simpleType>
    </xsd:element>
    <xsd:element name="CorpDocInstitute" ma:index="40" nillable="true" ma:displayName="Institutt" ma:internalName="CorpDocInstitute">
      <xsd:simpleType>
        <xsd:restriction base="dms:Text">
          <xsd:maxLength value="255"/>
        </xsd:restriction>
      </xsd:simpleType>
    </xsd:element>
    <xsd:element name="CorpDocClassificationNbNo" ma:index="43" nillable="true" ma:displayName="Gradering" ma:default="Åpen" ma:internalName="CorpDocClassificationNbNo">
      <xsd:simpleType>
        <xsd:restriction base="dms:Choice">
          <xsd:enumeration value="Åpen"/>
          <xsd:enumeration value="Intern"/>
          <xsd:enumeration value="Fortrolig"/>
          <xsd:enumeration value="Strengt fortrolig"/>
          <xsd:maxLength value="255"/>
        </xsd:restriction>
      </xsd:simpleType>
    </xsd:element>
    <xsd:element name="CorpDocVersion" ma:index="47" nillable="true" ma:displayName="Versjon" ma:internalName="CorpDocVersion">
      <xsd:simpleType>
        <xsd:restriction base="dms:Text">
          <xsd:maxLength value="255"/>
        </xsd:restriction>
      </xsd:simpleType>
    </xsd:element>
    <xsd:element name="CorpWorkflowStatus" ma:index="53" nillable="true" ma:displayName="Status arbeidsflyt" ma:internalName="CorpWorkflowStat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39ade-3401-439a-8edc-27936de33a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4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5" nillable="true" ma:displayName="MediaServiceAutoTags" ma:internalName="MediaServiceAutoTags" ma:readOnly="true">
      <xsd:simpleType>
        <xsd:restriction base="dms:Text"/>
      </xsd:simpleType>
    </xsd:element>
    <xsd:element name="MediaServiceOCR" ma:index="4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ArchiveRecNo" ma:index="48" nillable="true" ma:displayName="B360 Arkiv-ID" ma:internalName="ArchiveRecNo">
      <xsd:simpleType>
        <xsd:restriction base="dms:Text"/>
      </xsd:simpleType>
    </xsd:element>
    <xsd:element name="MediaServiceGenerationTime" ma:index="4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54" nillable="true" ma:displayName="Location" ma:internalName="MediaServiceLocation" ma:readOnly="true">
      <xsd:simpleType>
        <xsd:restriction base="dms:Text"/>
      </xsd:simpleType>
    </xsd:element>
    <xsd:element name="MediaLengthInSeconds" ma:index="5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57" nillable="true" ma:taxonomy="true" ma:internalName="lcf76f155ced4ddcb4097134ff3c332f" ma:taxonomyFieldName="MediaServiceImageTags" ma:displayName="Bildemerkelapper" ma:readOnly="false" ma:fieldId="{5cf76f15-5ced-4ddc-b409-7134ff3c332f}" ma:taxonomyMulti="true" ma:sspId="322a372c-f9c2-4fd8-9939-aea158435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6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edd7-17bc-4acf-b8a8-35111757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58" nillable="true" ma:displayName="Taxonomy Catch All Column" ma:hidden="true" ma:list="{ddad62b3-a3bc-4473-95b6-3a9321f64d39}" ma:internalName="TaxCatchAll" ma:showField="CatchAllData" ma:web="e527edd7-17bc-4acf-b8a8-3511175704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pDocClassificationEnUs xmlns="8bbd4995-53b7-43e2-b62f-10947586ac31">Unrestricted</CorpDocClassificationEnUs>
    <CorpDocPageClassificationEnUs xmlns="8bbd4995-53b7-43e2-b62f-10947586ac31">Unrestricted</CorpDocPageClassificationEnUs>
    <CorpDocPageClassificationNbNo xmlns="8bbd4995-53b7-43e2-b62f-10947586ac31">Åpen</CorpDocPageClassificationNbNo>
    <CorpSiteAccess xmlns="8bbd4995-53b7-43e2-b62f-10947586ac31">Kun navngitte medlemmer</CorpSiteAccess>
    <CorpSiteClassification xmlns="8bbd4995-53b7-43e2-b62f-10947586ac31">Åpen</CorpSiteClassification>
    <CorpDocClassificationNbNo xmlns="8bbd4995-53b7-43e2-b62f-10947586ac31">Åpen</CorpDocClassificationNbNo>
    <CorpSiteZipContact xmlns="8bbd4995-53b7-43e2-b62f-10947586ac31" xsi:nil="true"/>
    <CorpSiteProjectLeader xmlns="8bbd4995-53b7-43e2-b62f-10947586ac31">
      <UserInfo>
        <DisplayName/>
        <AccountId xsi:nil="true"/>
        <AccountType/>
      </UserInfo>
    </CorpSiteProjectLeader>
    <CorpSiteSubTitle xmlns="8bbd4995-53b7-43e2-b62f-10947586ac31" xsi:nil="true"/>
    <ArchiveRecNo xmlns="d8339ade-3401-439a-8edc-27936de33a76" xsi:nil="true"/>
    <TaxCatchAll xmlns="e527edd7-17bc-4acf-b8a8-3511175704a2" xsi:nil="true"/>
    <CorpSiteTags xmlns="8bbd4995-53b7-43e2-b62f-10947586ac31" xsi:nil="true"/>
    <CorpSiteISBN xmlns="8bbd4995-53b7-43e2-b62f-10947586ac31" xsi:nil="true"/>
    <CorpSiteInstitute xmlns="8bbd4995-53b7-43e2-b62f-10947586ac31" xsi:nil="true"/>
    <lcf76f155ced4ddcb4097134ff3c332f xmlns="d8339ade-3401-439a-8edc-27936de33a76">
      <Terms xmlns="http://schemas.microsoft.com/office/infopath/2007/PartnerControls"/>
    </lcf76f155ced4ddcb4097134ff3c332f>
    <CorpWorkflowFeedback xmlns="8bbd4995-53b7-43e2-b62f-10947586ac31" xsi:nil="true"/>
    <CorpSiteRecipientPerson xmlns="8bbd4995-53b7-43e2-b62f-10947586ac31" xsi:nil="true"/>
    <CorpSiteProjectNumber xmlns="8bbd4995-53b7-43e2-b62f-10947586ac31" xsi:nil="true"/>
    <CorpSiteProjectName xmlns="8bbd4995-53b7-43e2-b62f-10947586ac31" xsi:nil="true"/>
    <CorpDocInstitute xmlns="8bbd4995-53b7-43e2-b62f-10947586ac31" xsi:nil="true"/>
    <CorpSiteInstitutePhone xmlns="8bbd4995-53b7-43e2-b62f-10947586ac31" xsi:nil="true"/>
    <CorpSiteProjectOwner xmlns="8bbd4995-53b7-43e2-b62f-10947586ac31">
      <UserInfo>
        <DisplayName/>
        <AccountId xsi:nil="true"/>
        <AccountType/>
      </UserInfo>
    </CorpSiteProjectOwner>
    <CorpWorkflowStatus xmlns="8bbd4995-53b7-43e2-b62f-10947586ac31" xsi:nil="true"/>
    <CorpSiteInstituteEmail xmlns="8bbd4995-53b7-43e2-b62f-10947586ac31" xsi:nil="true"/>
    <CorpSiteCoAuthors xmlns="8bbd4995-53b7-43e2-b62f-10947586ac31" xsi:nil="true"/>
    <CorpSiteDocumentAuthor xmlns="8bbd4995-53b7-43e2-b62f-10947586ac31">
      <UserInfo>
        <DisplayName/>
        <AccountId xsi:nil="true"/>
        <AccountType/>
      </UserInfo>
    </CorpSiteDocumentAuthor>
    <CorpSiteInstituteEnUs xmlns="8bbd4995-53b7-43e2-b62f-10947586ac31" xsi:nil="true"/>
    <CorpSiteRecipientCompany xmlns="8bbd4995-53b7-43e2-b62f-10947586ac31" xsi:nil="true"/>
    <CorpSiteDocLanguage xmlns="8bbd4995-53b7-43e2-b62f-10947586ac31" xsi:nil="true"/>
    <CorpDocVersion xmlns="8bbd4995-53b7-43e2-b62f-10947586ac31" xsi:nil="true"/>
    <CorpWorkflowApproval xmlns="8bbd4995-53b7-43e2-b62f-10947586ac31" xsi:nil="true"/>
    <ArchiveStatus xmlns="8bbd4995-53b7-43e2-b62f-10947586ac31" xsi:nil="true"/>
    <CorpSiteProjectQA xmlns="8bbd4995-53b7-43e2-b62f-10947586ac31">
      <UserInfo>
        <DisplayName/>
        <AccountId xsi:nil="true"/>
        <AccountType/>
      </UserInfo>
    </CorpSiteProjectQA>
    <CorpSiteZipAddress xmlns="8bbd4995-53b7-43e2-b62f-10947586ac31" xsi:nil="true"/>
    <CorpSiteVATNumber xmlns="8bbd4995-53b7-43e2-b62f-10947586ac31" xsi:nil="true"/>
    <CorpSiteReportNumber xmlns="8bbd4995-53b7-43e2-b62f-10947586ac31" xsi:nil="true"/>
    <CorpSiteOurRef xmlns="8bbd4995-53b7-43e2-b62f-10947586ac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A5521-2366-49EB-8032-510DA1D480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44B370-5009-49F7-86FC-828956987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d4995-53b7-43e2-b62f-10947586ac31"/>
    <ds:schemaRef ds:uri="d8339ade-3401-439a-8edc-27936de33a76"/>
    <ds:schemaRef ds:uri="e527edd7-17bc-4acf-b8a8-35111757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C7F8E4-43F8-4140-AB5B-612CE3CB2E29}">
  <ds:schemaRefs>
    <ds:schemaRef ds:uri="http://schemas.microsoft.com/office/2006/metadata/properties"/>
    <ds:schemaRef ds:uri="http://schemas.microsoft.com/office/infopath/2007/PartnerControls"/>
    <ds:schemaRef ds:uri="8bbd4995-53b7-43e2-b62f-10947586ac31"/>
    <ds:schemaRef ds:uri="d8339ade-3401-439a-8edc-27936de33a76"/>
    <ds:schemaRef ds:uri="e527edd7-17bc-4acf-b8a8-3511175704a2"/>
  </ds:schemaRefs>
</ds:datastoreItem>
</file>

<file path=customXml/itemProps4.xml><?xml version="1.0" encoding="utf-8"?>
<ds:datastoreItem xmlns:ds="http://schemas.openxmlformats.org/officeDocument/2006/customXml" ds:itemID="{2C5E9731-8D5B-49C7-A4CE-BAA785C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Chapter.dotx</Template>
  <TotalTime>2</TotalTime>
  <Pages>6</Pages>
  <Words>2734</Words>
  <Characters>14927</Characters>
  <Application>Microsoft Office Word</Application>
  <DocSecurity>0</DocSecurity>
  <Lines>124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17626</CharactersWithSpaces>
  <SharedDoc>false</SharedDoc>
  <HLinks>
    <vt:vector size="24" baseType="variant">
      <vt:variant>
        <vt:i4>1835072</vt:i4>
      </vt:variant>
      <vt:variant>
        <vt:i4>39</vt:i4>
      </vt:variant>
      <vt:variant>
        <vt:i4>0</vt:i4>
      </vt:variant>
      <vt:variant>
        <vt:i4>5</vt:i4>
      </vt:variant>
      <vt:variant>
        <vt:lpwstr>https://www.npd.no/en/diskos/production/</vt:lpwstr>
      </vt:variant>
      <vt:variant>
        <vt:lpwstr/>
      </vt:variant>
      <vt:variant>
        <vt:i4>1441808</vt:i4>
      </vt:variant>
      <vt:variant>
        <vt:i4>33</vt:i4>
      </vt:variant>
      <vt:variant>
        <vt:i4>0</vt:i4>
      </vt:variant>
      <vt:variant>
        <vt:i4>5</vt:i4>
      </vt:variant>
      <vt:variant>
        <vt:lpwstr>https://www.norskpetroleum.no/en/environment-and-technology/emissions-to-air</vt:lpwstr>
      </vt:variant>
      <vt:variant>
        <vt:lpwstr/>
      </vt:variant>
      <vt:variant>
        <vt:i4>5832771</vt:i4>
      </vt:variant>
      <vt:variant>
        <vt:i4>30</vt:i4>
      </vt:variant>
      <vt:variant>
        <vt:i4>0</vt:i4>
      </vt:variant>
      <vt:variant>
        <vt:i4>5</vt:i4>
      </vt:variant>
      <vt:variant>
        <vt:lpwstr>http://www.iea.org/reports/world-energy-outlook-2021</vt:lpwstr>
      </vt:variant>
      <vt:variant>
        <vt:lpwstr/>
      </vt:variant>
      <vt:variant>
        <vt:i4>721013</vt:i4>
      </vt:variant>
      <vt:variant>
        <vt:i4>0</vt:i4>
      </vt:variant>
      <vt:variant>
        <vt:i4>0</vt:i4>
      </vt:variant>
      <vt:variant>
        <vt:i4>5</vt:i4>
      </vt:variant>
      <vt:variant>
        <vt:lpwstr>mailto:leif.andersson@sintef.no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subject/>
  <dc:creator>Kostas</dc:creator>
  <cp:keywords/>
  <cp:lastModifiedBy>Sauro Pierucci</cp:lastModifiedBy>
  <cp:revision>3</cp:revision>
  <cp:lastPrinted>2004-12-18T03:20:00Z</cp:lastPrinted>
  <dcterms:created xsi:type="dcterms:W3CDTF">2024-01-15T12:05:00Z</dcterms:created>
  <dcterms:modified xsi:type="dcterms:W3CDTF">2024-01-21T16:32:00Z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  <property fmtid="{D5CDD505-2E9C-101B-9397-08002B2CF9AE}" pid="10" name="ContentTypeId">
    <vt:lpwstr>0x01010031B82B69D2361148B4D8F7EC15680213080077AB15A58EDDB141AAEA46C9A235510F</vt:lpwstr>
  </property>
  <property fmtid="{D5CDD505-2E9C-101B-9397-08002B2CF9AE}" pid="11" name="MediaServiceImageTags">
    <vt:lpwstr/>
  </property>
</Properties>
</file>